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1B355FC6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FC7B9F">
        <w:rPr>
          <w:rFonts w:ascii="Times New Roman" w:hAnsi="Times New Roman"/>
          <w:sz w:val="20"/>
        </w:rPr>
        <w:t>Lilla Otrokocsi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25F215C5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FC7B9F">
        <w:rPr>
          <w:rFonts w:ascii="Times New Roman" w:hAnsi="Times New Roman"/>
          <w:b/>
          <w:sz w:val="20"/>
        </w:rPr>
        <w:t>otrokocsi.lilla@koki.hu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21E46F41" w14:textId="77777777" w:rsidR="00FC7B9F" w:rsidRDefault="00050183" w:rsidP="00FC7B9F">
      <w:pPr>
        <w:pStyle w:val="Cmsor1"/>
      </w:pPr>
      <w:r>
        <w:t>EDUCATION AND QUALIFICATIONS</w:t>
      </w:r>
    </w:p>
    <w:p w14:paraId="32DEFBFA" w14:textId="77777777" w:rsidR="00FC7B9F" w:rsidRDefault="00FC7B9F" w:rsidP="00FC7B9F">
      <w:pPr>
        <w:pStyle w:val="Cmsor1"/>
      </w:pPr>
    </w:p>
    <w:p w14:paraId="0B0911A3" w14:textId="051B4D71" w:rsidR="00FC7B9F" w:rsidRPr="00FC7B9F" w:rsidRDefault="00FC7B9F" w:rsidP="00FC7B9F">
      <w:pPr>
        <w:pStyle w:val="Cmsor1"/>
        <w:rPr>
          <w:b w:val="0"/>
          <w:szCs w:val="22"/>
        </w:rPr>
      </w:pPr>
      <w:r w:rsidRPr="00FC7B9F">
        <w:rPr>
          <w:b w:val="0"/>
          <w:szCs w:val="22"/>
        </w:rPr>
        <w:t xml:space="preserve">2018  PhD  – Semmelweis University, János Szentágothai School of Neuroscience </w:t>
      </w:r>
    </w:p>
    <w:p w14:paraId="75F652A2" w14:textId="77777777" w:rsidR="00FC7B9F" w:rsidRPr="00FC7B9F" w:rsidRDefault="00FC7B9F" w:rsidP="00FC7B9F">
      <w:pPr>
        <w:spacing w:line="259" w:lineRule="auto"/>
        <w:rPr>
          <w:rFonts w:ascii="Times New Roman" w:hAnsi="Times New Roman"/>
          <w:sz w:val="22"/>
          <w:szCs w:val="22"/>
        </w:rPr>
      </w:pPr>
      <w:r w:rsidRPr="00FC7B9F">
        <w:rPr>
          <w:rFonts w:ascii="Times New Roman" w:hAnsi="Times New Roman"/>
          <w:sz w:val="22"/>
          <w:szCs w:val="22"/>
        </w:rPr>
        <w:t xml:space="preserve"> </w:t>
      </w:r>
    </w:p>
    <w:p w14:paraId="05CD0871" w14:textId="115FBC3B" w:rsidR="00FC7B9F" w:rsidRPr="00FC7B9F" w:rsidRDefault="00FC7B9F" w:rsidP="00FC7B9F">
      <w:pPr>
        <w:tabs>
          <w:tab w:val="center" w:pos="5589"/>
        </w:tabs>
        <w:rPr>
          <w:rFonts w:ascii="Times New Roman" w:hAnsi="Times New Roman"/>
          <w:sz w:val="22"/>
          <w:szCs w:val="22"/>
        </w:rPr>
      </w:pPr>
      <w:r w:rsidRPr="00FC7B9F">
        <w:rPr>
          <w:rFonts w:ascii="Times New Roman" w:hAnsi="Times New Roman"/>
          <w:sz w:val="22"/>
          <w:szCs w:val="22"/>
        </w:rPr>
        <w:t xml:space="preserve">2013  </w:t>
      </w:r>
      <w:r>
        <w:rPr>
          <w:rFonts w:ascii="Times New Roman" w:hAnsi="Times New Roman"/>
          <w:sz w:val="22"/>
          <w:szCs w:val="22"/>
        </w:rPr>
        <w:t xml:space="preserve">MSc </w:t>
      </w:r>
      <w:r w:rsidRPr="00FC7B9F">
        <w:rPr>
          <w:rFonts w:ascii="Times New Roman" w:hAnsi="Times New Roman"/>
          <w:sz w:val="22"/>
          <w:szCs w:val="22"/>
        </w:rPr>
        <w:t xml:space="preserve">– Eötvös Loránd </w:t>
      </w:r>
      <w:r>
        <w:rPr>
          <w:rFonts w:ascii="Times New Roman" w:hAnsi="Times New Roman"/>
          <w:sz w:val="22"/>
          <w:szCs w:val="22"/>
        </w:rPr>
        <w:t>University</w:t>
      </w:r>
      <w:r w:rsidRPr="00FC7B9F"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neurobiology</w:t>
      </w:r>
      <w:r w:rsidRPr="00FC7B9F">
        <w:rPr>
          <w:rFonts w:ascii="Times New Roman" w:hAnsi="Times New Roman"/>
          <w:sz w:val="22"/>
          <w:szCs w:val="22"/>
        </w:rPr>
        <w:t xml:space="preserve"> </w:t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5D2723A2" w14:textId="77777777" w:rsidR="00050183" w:rsidRDefault="00050183">
      <w:pPr>
        <w:rPr>
          <w:sz w:val="20"/>
        </w:rPr>
      </w:pPr>
    </w:p>
    <w:p w14:paraId="57247FB4" w14:textId="218F9FB6" w:rsidR="00FC7B9F" w:rsidRDefault="00FC7B9F" w:rsidP="00FC7B9F">
      <w:pPr>
        <w:tabs>
          <w:tab w:val="center" w:pos="5311"/>
        </w:tabs>
      </w:pPr>
      <w:r>
        <w:t>2019- research fellow, Hun-Ren KOKI</w:t>
      </w:r>
    </w:p>
    <w:p w14:paraId="2E44078A" w14:textId="77777777" w:rsidR="00FC7B9F" w:rsidRDefault="00FC7B9F" w:rsidP="00FC7B9F">
      <w:pPr>
        <w:spacing w:line="259" w:lineRule="auto"/>
      </w:pPr>
      <w:r>
        <w:t xml:space="preserve"> </w:t>
      </w:r>
    </w:p>
    <w:p w14:paraId="02E2093C" w14:textId="04F66B6D" w:rsidR="00FC7B9F" w:rsidRDefault="00FC7B9F" w:rsidP="00FC7B9F">
      <w:pPr>
        <w:tabs>
          <w:tab w:val="center" w:pos="5637"/>
        </w:tabs>
      </w:pPr>
      <w:r>
        <w:t>2016-2019 assistant research fellow, Hun-Ren KOKI</w:t>
      </w:r>
    </w:p>
    <w:p w14:paraId="3488FCF1" w14:textId="77777777" w:rsidR="00FC7B9F" w:rsidRDefault="00FC7B9F" w:rsidP="00FC7B9F">
      <w:pPr>
        <w:spacing w:line="259" w:lineRule="auto"/>
      </w:pPr>
      <w:r>
        <w:t xml:space="preserve"> </w:t>
      </w:r>
    </w:p>
    <w:p w14:paraId="065C8199" w14:textId="76444B22" w:rsidR="00FC7B9F" w:rsidRDefault="00FC7B9F" w:rsidP="00FC7B9F">
      <w:pPr>
        <w:tabs>
          <w:tab w:val="center" w:pos="4710"/>
        </w:tabs>
      </w:pPr>
      <w:r>
        <w:t xml:space="preserve">2013-2018 PhD student, Hun-Ren KOKI  </w:t>
      </w:r>
    </w:p>
    <w:p w14:paraId="25E47F1C" w14:textId="77777777" w:rsidR="00FC7B9F" w:rsidRDefault="00FC7B9F" w:rsidP="00FC7B9F">
      <w:pPr>
        <w:spacing w:line="259" w:lineRule="auto"/>
      </w:pPr>
      <w:r>
        <w:t xml:space="preserve"> </w:t>
      </w:r>
    </w:p>
    <w:p w14:paraId="49ED154F" w14:textId="1EEF5395" w:rsidR="00FC7B9F" w:rsidRDefault="00FC7B9F" w:rsidP="00FC7B9F">
      <w:pPr>
        <w:tabs>
          <w:tab w:val="center" w:pos="4717"/>
        </w:tabs>
      </w:pPr>
      <w:r>
        <w:t xml:space="preserve">2012-2013 </w:t>
      </w:r>
      <w:r w:rsidRPr="00FC7B9F">
        <w:t>Scientific Students' Associations</w:t>
      </w:r>
      <w:r>
        <w:t xml:space="preserve"> student, Hun-Ren KOKI</w:t>
      </w:r>
      <w:r>
        <w:rPr>
          <w:b/>
          <w:sz w:val="22"/>
        </w:rPr>
        <w:t xml:space="preserve"> </w:t>
      </w:r>
    </w:p>
    <w:p w14:paraId="3B5B6FF9" w14:textId="3DE36612" w:rsidR="00FC7B9F" w:rsidRDefault="00FC7B9F">
      <w:pPr>
        <w:pStyle w:val="Cmsor1"/>
      </w:pPr>
    </w:p>
    <w:p w14:paraId="57CF865F" w14:textId="77777777" w:rsidR="00FC7B9F" w:rsidRPr="00FC7B9F" w:rsidRDefault="00FC7B9F" w:rsidP="00FC7B9F"/>
    <w:p w14:paraId="418ED90A" w14:textId="20C4DCE8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64ED62B8" w:rsidR="00050183" w:rsidRPr="00277FA6" w:rsidRDefault="00050183">
      <w:pPr>
        <w:rPr>
          <w:rFonts w:ascii="Times New Roman" w:hAnsi="Times New Roman"/>
          <w:sz w:val="22"/>
          <w:szCs w:val="22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  <w:r w:rsidR="00FC7B9F">
        <w:rPr>
          <w:rFonts w:ascii="Times New Roman" w:hAnsi="Times New Roman"/>
          <w:sz w:val="20"/>
        </w:rPr>
        <w:t xml:space="preserve"> </w:t>
      </w:r>
      <w:r w:rsidR="00FC7B9F" w:rsidRPr="00277FA6">
        <w:rPr>
          <w:rFonts w:ascii="Times New Roman" w:hAnsi="Times New Roman"/>
          <w:sz w:val="22"/>
          <w:szCs w:val="22"/>
        </w:rPr>
        <w:t>HUPHAR Youth Contest 1</w:t>
      </w:r>
      <w:r w:rsidR="00FC7B9F" w:rsidRPr="00277FA6">
        <w:rPr>
          <w:rFonts w:ascii="Times New Roman" w:hAnsi="Times New Roman"/>
          <w:sz w:val="22"/>
          <w:szCs w:val="22"/>
          <w:vertAlign w:val="superscript"/>
        </w:rPr>
        <w:t>st</w:t>
      </w:r>
      <w:r w:rsidR="00FC7B9F" w:rsidRPr="00277FA6">
        <w:rPr>
          <w:rFonts w:ascii="Times New Roman" w:hAnsi="Times New Roman"/>
          <w:sz w:val="22"/>
          <w:szCs w:val="22"/>
        </w:rPr>
        <w:t xml:space="preserve"> place (2017) and 3</w:t>
      </w:r>
      <w:r w:rsidR="00FC7B9F" w:rsidRPr="00277FA6">
        <w:rPr>
          <w:rFonts w:ascii="Times New Roman" w:hAnsi="Times New Roman"/>
          <w:sz w:val="22"/>
          <w:szCs w:val="22"/>
          <w:vertAlign w:val="superscript"/>
        </w:rPr>
        <w:t>rd</w:t>
      </w:r>
      <w:r w:rsidR="00FC7B9F" w:rsidRPr="00277FA6">
        <w:rPr>
          <w:rFonts w:ascii="Times New Roman" w:hAnsi="Times New Roman"/>
          <w:sz w:val="22"/>
          <w:szCs w:val="22"/>
        </w:rPr>
        <w:t xml:space="preserve"> place (2019)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5120D7B8" w14:textId="6E4B5AE8" w:rsidR="00277FA6" w:rsidRDefault="00050183" w:rsidP="00277FA6">
      <w:pPr>
        <w:tabs>
          <w:tab w:val="center" w:pos="2836"/>
        </w:tabs>
        <w:spacing w:after="135"/>
      </w:pPr>
      <w:r w:rsidRPr="001160C7">
        <w:rPr>
          <w:bCs/>
          <w:i/>
          <w:iCs/>
          <w:sz w:val="20"/>
        </w:rPr>
        <w:t>Fellowships and grants:</w:t>
      </w:r>
      <w:r w:rsidR="00277FA6" w:rsidRPr="00277FA6">
        <w:t xml:space="preserve"> </w:t>
      </w:r>
      <w:r w:rsidR="00277FA6">
        <w:t xml:space="preserve">HNS (2017-), HUPHAR (2014-), HSM (2013-) </w:t>
      </w:r>
    </w:p>
    <w:p w14:paraId="0215D3EC" w14:textId="77777777" w:rsidR="00050183" w:rsidRPr="001160C7" w:rsidRDefault="00050183">
      <w:pPr>
        <w:pStyle w:val="Cmsor1"/>
        <w:rPr>
          <w:b w:val="0"/>
          <w:bCs/>
          <w:i/>
          <w:iCs/>
          <w:sz w:val="20"/>
        </w:rPr>
      </w:pP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6B6623B3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4874868F" w14:textId="395AF198" w:rsidR="00277FA6" w:rsidRDefault="00277FA6" w:rsidP="00277FA6"/>
    <w:p w14:paraId="278F01D2" w14:textId="10063B41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>“</w:t>
      </w:r>
      <w:hyperlink r:id="rId7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Maternal P2X7 receptor inhibition prevents autism-like phenotype in male mouse offspring through the NLRP3-IL-1β pathway.</w:t>
        </w:r>
      </w:hyperlink>
      <w:r w:rsidRPr="00277FA6">
        <w:rPr>
          <w:sz w:val="22"/>
          <w:szCs w:val="22"/>
        </w:rPr>
        <w:t>”</w:t>
      </w:r>
      <w:hyperlink r:id="rId8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Szabó, D</w:t>
        </w:r>
      </w:hyperlink>
      <w:r w:rsidRPr="00277FA6">
        <w:rPr>
          <w:sz w:val="22"/>
          <w:szCs w:val="22"/>
        </w:rPr>
        <w:t>, </w:t>
      </w:r>
      <w:hyperlink r:id="rId9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Tod P</w:t>
        </w:r>
      </w:hyperlink>
      <w:r w:rsidRPr="00277FA6">
        <w:rPr>
          <w:sz w:val="22"/>
          <w:szCs w:val="22"/>
        </w:rPr>
        <w:t>, </w:t>
      </w:r>
      <w:hyperlink r:id="rId10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Gölöncsér F</w:t>
        </w:r>
      </w:hyperlink>
      <w:r w:rsidRPr="00277FA6">
        <w:rPr>
          <w:rStyle w:val="Hiperhivatkozs"/>
          <w:color w:val="auto"/>
          <w:sz w:val="22"/>
          <w:szCs w:val="22"/>
          <w:u w:val="none"/>
        </w:rPr>
        <w:t>,</w:t>
      </w:r>
      <w:r w:rsidRPr="00277FA6">
        <w:rPr>
          <w:sz w:val="22"/>
          <w:szCs w:val="22"/>
        </w:rPr>
        <w:t> </w:t>
      </w:r>
      <w:hyperlink r:id="rId11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Román V</w:t>
        </w:r>
      </w:hyperlink>
      <w:r w:rsidRPr="00277FA6">
        <w:rPr>
          <w:sz w:val="22"/>
          <w:szCs w:val="22"/>
        </w:rPr>
        <w:t>, </w:t>
      </w:r>
      <w:hyperlink r:id="rId12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Lendvai B,</w:t>
        </w:r>
      </w:hyperlink>
      <w:r w:rsidRPr="00277FA6">
        <w:rPr>
          <w:rStyle w:val="Hiperhivatkozs"/>
          <w:color w:val="auto"/>
          <w:sz w:val="22"/>
          <w:szCs w:val="22"/>
          <w:u w:val="none"/>
        </w:rPr>
        <w:t xml:space="preserve"> </w:t>
      </w:r>
      <w:hyperlink r:id="rId13" w:tgtFrame="_blank" w:history="1">
        <w:r w:rsidRPr="00277FA6">
          <w:rPr>
            <w:rStyle w:val="Hiperhivatkozs"/>
            <w:b/>
            <w:color w:val="auto"/>
            <w:sz w:val="22"/>
            <w:szCs w:val="22"/>
            <w:u w:val="none"/>
          </w:rPr>
          <w:t>Otrokocsi</w:t>
        </w:r>
        <w:r w:rsidRPr="00277FA6">
          <w:rPr>
            <w:rStyle w:val="Hiperhivatkozs"/>
            <w:color w:val="auto"/>
            <w:sz w:val="22"/>
            <w:szCs w:val="22"/>
            <w:u w:val="none"/>
          </w:rPr>
          <w:t xml:space="preserve"> L</w:t>
        </w:r>
        <w:r w:rsidRPr="00277FA6">
          <w:rPr>
            <w:rStyle w:val="Hiperhivatkozs"/>
            <w:color w:val="auto"/>
            <w:sz w:val="22"/>
            <w:szCs w:val="22"/>
            <w:u w:val="none"/>
            <w:vertAlign w:val="superscript"/>
          </w:rPr>
          <w:t>**</w:t>
        </w:r>
      </w:hyperlink>
      <w:r w:rsidRPr="00277FA6">
        <w:rPr>
          <w:sz w:val="22"/>
          <w:szCs w:val="22"/>
        </w:rPr>
        <w:t>, </w:t>
      </w:r>
      <w:hyperlink r:id="rId14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Sperlágh B</w:t>
        </w:r>
      </w:hyperlink>
      <w:r w:rsidRPr="00277FA6">
        <w:rPr>
          <w:rStyle w:val="Hiperhivatkozs"/>
          <w:color w:val="auto"/>
          <w:sz w:val="22"/>
          <w:szCs w:val="22"/>
          <w:u w:val="none"/>
        </w:rPr>
        <w:t>**</w:t>
      </w:r>
      <w:r w:rsidRPr="00277FA6">
        <w:rPr>
          <w:sz w:val="22"/>
          <w:szCs w:val="22"/>
        </w:rPr>
        <w:t xml:space="preserve">BRAIN BEHAVIOR AND IMMUNITY 101 pp. 318-332. , 15 p. (2022) doi: 10.1016/j.bbi.2022.01.015. </w:t>
      </w:r>
    </w:p>
    <w:p w14:paraId="3445A025" w14:textId="77777777" w:rsidR="00277FA6" w:rsidRPr="00277FA6" w:rsidRDefault="00277FA6" w:rsidP="00277FA6">
      <w:pPr>
        <w:rPr>
          <w:sz w:val="22"/>
          <w:szCs w:val="22"/>
        </w:rPr>
      </w:pPr>
    </w:p>
    <w:p w14:paraId="1CEFC6C5" w14:textId="434DAE9C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>“</w:t>
      </w:r>
      <w:hyperlink r:id="rId15" w:tgtFrame="_blank" w:history="1">
        <w:r w:rsidRPr="00277FA6">
          <w:rPr>
            <w:rStyle w:val="Hiperhivatkozs"/>
            <w:color w:val="auto"/>
            <w:sz w:val="22"/>
            <w:szCs w:val="22"/>
            <w:u w:val="none"/>
          </w:rPr>
          <w:t>The dualistic role of the purinergic P2Y12-receptor in an in vivo model of Parkinson's disease: Signalling pathway and novel therapeutic targets</w:t>
        </w:r>
      </w:hyperlink>
      <w:r w:rsidRPr="00277FA6">
        <w:rPr>
          <w:sz w:val="22"/>
          <w:szCs w:val="22"/>
        </w:rPr>
        <w:t xml:space="preserve">“ Iring A, Tóth A, Baranyi M,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L, Módis L, Gölöncsér F, Varga B, Hortobagyi T, Bereczki D, Dénes Á, Sperlagh B (2022) PHARMACOLOGICAL RESEARCH 176 Paper: 106045 , 16 p. doi: 10.1016/j.phrs.2021.106045. </w:t>
      </w:r>
    </w:p>
    <w:p w14:paraId="35A92DC9" w14:textId="77777777" w:rsidR="00277FA6" w:rsidRPr="00277FA6" w:rsidRDefault="00277FA6" w:rsidP="00277FA6">
      <w:pPr>
        <w:spacing w:after="17"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63E0C910" w14:textId="01605E2E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“Involvement of P2Y12 receptors in an NTG-induced model of migraine in male mice“  Gölöncsér F, Baranyi M, Iring A, Hricisák L,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L, Benyó L, Sperlágh B (2021), BRITISH JOURNAL OF PHARMACOLOGY 178 : 23 pp. 4626-4645. , 20 p. doi: 10.1111/bph.15641. </w:t>
      </w:r>
    </w:p>
    <w:p w14:paraId="418E530A" w14:textId="77777777" w:rsidR="00277FA6" w:rsidRPr="00277FA6" w:rsidRDefault="00277FA6" w:rsidP="00277FA6">
      <w:pPr>
        <w:spacing w:after="10"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0C147383" w14:textId="77777777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“Microglia Actively Remodel Adult Hippocampal Neurogenesis through the Phagocytosis </w:t>
      </w:r>
    </w:p>
    <w:p w14:paraId="07A02A02" w14:textId="77777777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Secretome.” Diaz-Aparicio I, Paris I,  Sierra-Torre V,  Plaza-Zabala A,  Rodríguez-Iglesias N,  </w:t>
      </w:r>
    </w:p>
    <w:p w14:paraId="6C1B12E2" w14:textId="61F78028" w:rsidR="00277FA6" w:rsidRPr="00277FA6" w:rsidRDefault="00277FA6" w:rsidP="00277FA6">
      <w:pPr>
        <w:ind w:left="715" w:right="275"/>
        <w:rPr>
          <w:sz w:val="22"/>
          <w:szCs w:val="22"/>
        </w:rPr>
      </w:pPr>
      <w:r w:rsidRPr="00277FA6">
        <w:rPr>
          <w:sz w:val="22"/>
          <w:szCs w:val="22"/>
        </w:rPr>
        <w:t xml:space="preserve">Márquez-Ropero M,  Beccari S,  Huguet P,  Abiega O,  Alberdi E,  Matute C,  Bernales I,  Schulz A, 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L,  Sperlagh B, . Happonen KE,  Lemke G,  Maletic-Savatic M,  Valero J,  Sierra A  (2020.) JOURNAL OF NEUROSCIENCE 40 (7): 1453–1482. doi:10.1523/JNEUROSCI.0993-19.2019. </w:t>
      </w:r>
    </w:p>
    <w:p w14:paraId="65B055A5" w14:textId="77777777" w:rsidR="00277FA6" w:rsidRPr="00277FA6" w:rsidRDefault="00277FA6" w:rsidP="00277FA6">
      <w:pPr>
        <w:spacing w:after="20"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3437FDE8" w14:textId="7501CD58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“P2X7 Receptors Drive poly(I:C) Induced Autism-like Behavior in Mice.”  Horváth G*,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L*, Bekő K, Baranyi M, Kittel Á, Fritz-Ruenes PA, Sperlágh B (2019) JOURNAL OF NEUROSCIENCE 39 (13): 2542–2561. doi:10.1523/JNEUROSCI.1895-18.2019. </w:t>
      </w:r>
    </w:p>
    <w:p w14:paraId="63147609" w14:textId="77777777" w:rsidR="00277FA6" w:rsidRPr="00277FA6" w:rsidRDefault="00277FA6" w:rsidP="00277FA6">
      <w:pPr>
        <w:spacing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23011F6C" w14:textId="77777777" w:rsidR="00277FA6" w:rsidRPr="00277FA6" w:rsidRDefault="00277FA6" w:rsidP="00277FA6">
      <w:pPr>
        <w:spacing w:after="28"/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“Role of P2 Receptors in Normal Brain Development and in Neurodevelopmental Psychiatric </w:t>
      </w:r>
    </w:p>
    <w:p w14:paraId="31B9A8FA" w14:textId="612F8D4C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Disorders.” Huang L, </w:t>
      </w:r>
      <w:r w:rsidRPr="00277FA6">
        <w:rPr>
          <w:b/>
          <w:sz w:val="22"/>
          <w:szCs w:val="22"/>
        </w:rPr>
        <w:t xml:space="preserve">Otrokocsi </w:t>
      </w:r>
      <w:r w:rsidRPr="00277FA6">
        <w:rPr>
          <w:sz w:val="22"/>
          <w:szCs w:val="22"/>
        </w:rPr>
        <w:t xml:space="preserve">L, Sperlágh B. (2019) BRAIN RESEARCH BULLETIN 151: 55– 64. </w:t>
      </w:r>
    </w:p>
    <w:p w14:paraId="3A9447E0" w14:textId="784C7ED6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doi:10.1016/j.brainresbull.2019.01.030. </w:t>
      </w:r>
    </w:p>
    <w:p w14:paraId="65963A09" w14:textId="77777777" w:rsidR="00277FA6" w:rsidRPr="00277FA6" w:rsidRDefault="00277FA6" w:rsidP="00277FA6">
      <w:pPr>
        <w:spacing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4F3D470E" w14:textId="77777777" w:rsidR="00277FA6" w:rsidRPr="00277FA6" w:rsidRDefault="00277FA6" w:rsidP="00277FA6">
      <w:pPr>
        <w:spacing w:after="28"/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“P2X7 Receptors Drive Spine Synapse Plasticity in the Learned Helplessness Model of </w:t>
      </w:r>
    </w:p>
    <w:p w14:paraId="18003D05" w14:textId="29AADCF7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Depression.” </w:t>
      </w:r>
      <w:r w:rsidRPr="00277FA6">
        <w:rPr>
          <w:b/>
          <w:sz w:val="22"/>
          <w:szCs w:val="22"/>
        </w:rPr>
        <w:t xml:space="preserve">Otrokocsi </w:t>
      </w:r>
      <w:r w:rsidRPr="00277FA6">
        <w:rPr>
          <w:sz w:val="22"/>
          <w:szCs w:val="22"/>
        </w:rPr>
        <w:t xml:space="preserve">L, Kittel Á, Sperlágh B.  (2017) INTERNATIONAL JOURNAL OF </w:t>
      </w:r>
    </w:p>
    <w:p w14:paraId="5C319A7E" w14:textId="1AEBC813" w:rsidR="00277FA6" w:rsidRPr="00277FA6" w:rsidRDefault="00277FA6" w:rsidP="00277FA6">
      <w:pPr>
        <w:spacing w:after="27"/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NEUROPSYCHOPHARMACOLOGY 20 (10): 813–822. doi:10.1093/ijnp/pyx046. </w:t>
      </w:r>
    </w:p>
    <w:p w14:paraId="7600BE05" w14:textId="77777777" w:rsidR="00277FA6" w:rsidRPr="00277FA6" w:rsidRDefault="00277FA6" w:rsidP="00277FA6">
      <w:pPr>
        <w:spacing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1586B563" w14:textId="77777777" w:rsidR="00277FA6" w:rsidRPr="00277FA6" w:rsidRDefault="00277FA6" w:rsidP="00277FA6">
      <w:pPr>
        <w:spacing w:after="30"/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“Novel (Hetero)arylalkenyl Propargylamine Compounds Are Protective in Toxin-Induced </w:t>
      </w:r>
    </w:p>
    <w:p w14:paraId="6BF98823" w14:textId="1F9CC984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Models of Parkinson’s Disease.”  Baranyi M, Porceddu PF, Gölöncsér F, Kulcsár S,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L, Kittel Á, Pinna A, Frau L, Huleatt PB, Khoo ML, Chai CL, Dunkel P, Mátyus P, Morelli M, Sperlágh B. (2016) MOLECULAR NEURODEGENERATION 11. doi:10.1186/s13024-015-0067-y </w:t>
      </w:r>
    </w:p>
    <w:p w14:paraId="5EE8A5A4" w14:textId="77777777" w:rsidR="00277FA6" w:rsidRPr="00277FA6" w:rsidRDefault="00277FA6" w:rsidP="00277FA6">
      <w:pPr>
        <w:spacing w:after="20"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6B68D1FC" w14:textId="05F27779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“Purinergic Mechanisms in Neuroinflammation: An Update from Molecules to Behavior.”  Beamer E, Gölöncsér F, Horváth G, Bekő K,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L, Koványi B, Sperlágh B (2016) NEUROPHARMACOLOGY 104 (Special Issue): 94–104. doi:10.1016/j.neuropharm.2015.09.019. </w:t>
      </w:r>
    </w:p>
    <w:p w14:paraId="2F4C9687" w14:textId="77777777" w:rsidR="00277FA6" w:rsidRPr="00277FA6" w:rsidRDefault="00277FA6" w:rsidP="00277FA6">
      <w:pPr>
        <w:spacing w:line="259" w:lineRule="auto"/>
        <w:ind w:left="720"/>
        <w:rPr>
          <w:sz w:val="22"/>
          <w:szCs w:val="22"/>
        </w:rPr>
      </w:pPr>
      <w:r w:rsidRPr="00277FA6">
        <w:rPr>
          <w:sz w:val="22"/>
          <w:szCs w:val="22"/>
        </w:rPr>
        <w:t xml:space="preserve"> </w:t>
      </w:r>
    </w:p>
    <w:p w14:paraId="283774C3" w14:textId="77777777" w:rsidR="00277FA6" w:rsidRPr="00277FA6" w:rsidRDefault="00277FA6" w:rsidP="00277FA6">
      <w:pPr>
        <w:spacing w:after="30"/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“Effect of Storage on Physical and Functional Properties of Extracellular Vesicles Derived from </w:t>
      </w:r>
    </w:p>
    <w:p w14:paraId="0473B895" w14:textId="78C9F99F" w:rsidR="00277FA6" w:rsidRPr="00277FA6" w:rsidRDefault="00277FA6" w:rsidP="00277FA6">
      <w:pPr>
        <w:ind w:left="715"/>
        <w:rPr>
          <w:sz w:val="22"/>
          <w:szCs w:val="22"/>
        </w:rPr>
      </w:pPr>
      <w:r w:rsidRPr="00277FA6">
        <w:rPr>
          <w:sz w:val="22"/>
          <w:szCs w:val="22"/>
        </w:rPr>
        <w:t xml:space="preserve">Neutrophilic Granulocytes.”  Lőrincz ÁM, Timár CI, Marosvári KA, Veres DS, </w:t>
      </w:r>
      <w:r w:rsidRPr="00277FA6">
        <w:rPr>
          <w:b/>
          <w:sz w:val="22"/>
          <w:szCs w:val="22"/>
        </w:rPr>
        <w:t>Otrokocsi</w:t>
      </w:r>
      <w:r w:rsidRPr="00277FA6">
        <w:rPr>
          <w:sz w:val="22"/>
          <w:szCs w:val="22"/>
        </w:rPr>
        <w:t xml:space="preserve"> L, Kittel Á, Ligeti E (2014) JOURNAL OF EXTRACELLULAR VESICLES 3 (1). doi:10.3402/jev.v3.25465. </w:t>
      </w:r>
    </w:p>
    <w:p w14:paraId="70F31F4B" w14:textId="77777777" w:rsidR="00277FA6" w:rsidRPr="00277FA6" w:rsidRDefault="00277FA6" w:rsidP="00277FA6">
      <w:pPr>
        <w:rPr>
          <w:sz w:val="22"/>
          <w:szCs w:val="22"/>
        </w:rPr>
      </w:pPr>
    </w:p>
    <w:sectPr w:rsidR="00277FA6" w:rsidRPr="00277FA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B93A8" w14:textId="77777777" w:rsidR="006269FE" w:rsidRDefault="006269FE">
      <w:r>
        <w:separator/>
      </w:r>
    </w:p>
  </w:endnote>
  <w:endnote w:type="continuationSeparator" w:id="0">
    <w:p w14:paraId="765CA4F1" w14:textId="77777777" w:rsidR="006269FE" w:rsidRDefault="006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4023B" w14:textId="77777777" w:rsidR="006269FE" w:rsidRDefault="006269FE">
      <w:r>
        <w:separator/>
      </w:r>
    </w:p>
  </w:footnote>
  <w:footnote w:type="continuationSeparator" w:id="0">
    <w:p w14:paraId="5F26069E" w14:textId="77777777" w:rsidR="006269FE" w:rsidRDefault="0062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77FA6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269FE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C69AA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C7B9F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type=authors&amp;mode=browse&amp;sel=10067769" TargetMode="External"/><Relationship Id="rId13" Type="http://schemas.openxmlformats.org/officeDocument/2006/relationships/hyperlink" Target="https://m2.mtmt.hu/gui2/?type=authors&amp;mode=browse&amp;sel=10055678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m2.mtmt.hu/gui2/?mode=browse&amp;params=publication;32624327" TargetMode="External"/><Relationship Id="rId12" Type="http://schemas.openxmlformats.org/officeDocument/2006/relationships/hyperlink" Target="https://m2.mtmt.hu/gui2/?type=authors&amp;mode=browse&amp;sel=1001047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2.mtmt.hu/gui2/?type=authors&amp;mode=browse&amp;sel=100152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2.mtmt.hu/gui2/?mode=browse&amp;params=publication;32583471" TargetMode="External"/><Relationship Id="rId10" Type="http://schemas.openxmlformats.org/officeDocument/2006/relationships/hyperlink" Target="https://m2.mtmt.hu/gui2/?type=authors&amp;mode=browse&amp;sel=10052098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m2.mtmt.hu/gui2/?type=authors&amp;mode=browse&amp;sel=10054736" TargetMode="External"/><Relationship Id="rId14" Type="http://schemas.openxmlformats.org/officeDocument/2006/relationships/hyperlink" Target="https://m2.mtmt.hu/gui2/?type=authors&amp;mode=browse&amp;sel=100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B6076-2CED-40E5-AFF2-059B00EE9426}"/>
</file>

<file path=customXml/itemProps2.xml><?xml version="1.0" encoding="utf-8"?>
<ds:datastoreItem xmlns:ds="http://schemas.openxmlformats.org/officeDocument/2006/customXml" ds:itemID="{EBBF2D34-81C7-44E8-AD2F-D6A3602D64DF}"/>
</file>

<file path=customXml/itemProps3.xml><?xml version="1.0" encoding="utf-8"?>
<ds:datastoreItem xmlns:ds="http://schemas.openxmlformats.org/officeDocument/2006/customXml" ds:itemID="{435B046D-BACB-4DDC-8CDB-C01E2C7D8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3980</Characters>
  <Application>Microsoft Office Word</Application>
  <DocSecurity>0</DocSecurity>
  <Lines>33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4448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Oroszi Tünde</cp:lastModifiedBy>
  <cp:revision>2</cp:revision>
  <cp:lastPrinted>2003-11-10T08:40:00Z</cp:lastPrinted>
  <dcterms:created xsi:type="dcterms:W3CDTF">2025-03-20T09:01:00Z</dcterms:created>
  <dcterms:modified xsi:type="dcterms:W3CDTF">2025-03-20T09:01:00Z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