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0707" w14:textId="1E6D3E65" w:rsidR="00050183" w:rsidRPr="003106C2" w:rsidRDefault="00050183">
      <w:pPr>
        <w:pStyle w:val="Cm"/>
        <w:rPr>
          <w:b/>
          <w:bCs/>
          <w:sz w:val="28"/>
          <w:lang w:val="hu-HU"/>
        </w:rPr>
      </w:pPr>
      <w:r w:rsidRPr="003106C2">
        <w:rPr>
          <w:b/>
          <w:bCs/>
          <w:sz w:val="28"/>
          <w:lang w:val="hu-HU"/>
        </w:rPr>
        <w:t>CURRICULUM VITAE</w:t>
      </w:r>
    </w:p>
    <w:p w14:paraId="1736B096" w14:textId="43548369" w:rsidR="00050183" w:rsidRPr="00FA03F9" w:rsidRDefault="00B57A34">
      <w:pPr>
        <w:pStyle w:val="Cmsor1"/>
        <w:rPr>
          <w:lang w:val="hu-HU"/>
        </w:rPr>
      </w:pPr>
      <w:r w:rsidRPr="00FA03F9">
        <w:rPr>
          <w:lang w:val="hu-HU"/>
        </w:rPr>
        <w:t>SZEMÉLYES ADATOK</w:t>
      </w:r>
      <w:r w:rsidR="00F70A47">
        <w:rPr>
          <w:lang w:val="hu-HU"/>
        </w:rPr>
        <w:t xml:space="preserve">                                                                                                       </w:t>
      </w:r>
    </w:p>
    <w:p w14:paraId="28213AAB" w14:textId="45B4B635" w:rsidR="00050183" w:rsidRPr="00FA03F9" w:rsidRDefault="00B57A34">
      <w:pPr>
        <w:tabs>
          <w:tab w:val="left" w:pos="20"/>
        </w:tabs>
        <w:rPr>
          <w:rFonts w:ascii="Times New Roman" w:hAnsi="Times New Roman"/>
          <w:sz w:val="20"/>
          <w:lang w:val="hu-HU"/>
        </w:rPr>
      </w:pPr>
      <w:r w:rsidRPr="00FA03F9">
        <w:rPr>
          <w:rFonts w:ascii="Times New Roman" w:hAnsi="Times New Roman"/>
          <w:b/>
          <w:sz w:val="20"/>
          <w:lang w:val="hu-HU"/>
        </w:rPr>
        <w:t>NÉV</w:t>
      </w:r>
      <w:r w:rsidR="00050183" w:rsidRPr="00FA03F9">
        <w:rPr>
          <w:rFonts w:ascii="Times New Roman" w:hAnsi="Times New Roman"/>
          <w:sz w:val="20"/>
          <w:lang w:val="hu-HU"/>
        </w:rPr>
        <w:t>:</w:t>
      </w:r>
      <w:r w:rsidR="0088688A" w:rsidRPr="00FA03F9">
        <w:rPr>
          <w:rFonts w:ascii="Times New Roman" w:hAnsi="Times New Roman"/>
          <w:sz w:val="20"/>
          <w:lang w:val="hu-HU"/>
        </w:rPr>
        <w:t xml:space="preserve"> Dr. Kalló Imre</w:t>
      </w:r>
      <w:r w:rsidR="00050183" w:rsidRPr="00FA03F9">
        <w:rPr>
          <w:rFonts w:ascii="Times New Roman" w:hAnsi="Times New Roman"/>
          <w:sz w:val="20"/>
          <w:lang w:val="hu-HU"/>
        </w:rPr>
        <w:tab/>
      </w:r>
      <w:r w:rsidR="00050183" w:rsidRPr="00FA03F9">
        <w:rPr>
          <w:rFonts w:ascii="Times New Roman" w:hAnsi="Times New Roman"/>
          <w:sz w:val="20"/>
          <w:lang w:val="hu-HU"/>
        </w:rPr>
        <w:tab/>
      </w:r>
      <w:r w:rsidR="00050183" w:rsidRPr="00FA03F9">
        <w:rPr>
          <w:rFonts w:ascii="Times New Roman" w:hAnsi="Times New Roman"/>
          <w:sz w:val="20"/>
          <w:lang w:val="hu-HU"/>
        </w:rPr>
        <w:tab/>
      </w:r>
    </w:p>
    <w:p w14:paraId="7D97CCA2" w14:textId="7A8A08BB" w:rsidR="00050183" w:rsidRPr="00FA03F9" w:rsidRDefault="00050183">
      <w:pPr>
        <w:rPr>
          <w:rFonts w:ascii="Times New Roman" w:hAnsi="Times New Roman"/>
          <w:sz w:val="20"/>
          <w:lang w:val="hu-HU"/>
        </w:rPr>
      </w:pPr>
      <w:r w:rsidRPr="00FA03F9">
        <w:rPr>
          <w:rFonts w:ascii="Times New Roman" w:hAnsi="Times New Roman"/>
          <w:b/>
          <w:sz w:val="20"/>
          <w:lang w:val="hu-HU"/>
        </w:rPr>
        <w:t>e-mail:</w:t>
      </w:r>
      <w:r w:rsidRPr="00FA03F9">
        <w:rPr>
          <w:rFonts w:ascii="Times New Roman" w:hAnsi="Times New Roman"/>
          <w:b/>
          <w:sz w:val="20"/>
          <w:lang w:val="hu-HU"/>
        </w:rPr>
        <w:tab/>
      </w:r>
      <w:r w:rsidR="003106C2" w:rsidRPr="00FA03F9">
        <w:rPr>
          <w:rFonts w:ascii="Times New Roman" w:hAnsi="Times New Roman"/>
          <w:bCs/>
          <w:sz w:val="20"/>
          <w:lang w:val="hu-HU"/>
        </w:rPr>
        <w:t>kallo.imre@koki.hun-ren.hu</w:t>
      </w:r>
      <w:r w:rsidRPr="00FA03F9">
        <w:rPr>
          <w:rFonts w:ascii="Times New Roman" w:hAnsi="Times New Roman"/>
          <w:sz w:val="20"/>
          <w:lang w:val="hu-HU"/>
        </w:rPr>
        <w:tab/>
      </w:r>
      <w:r w:rsidRPr="00FA03F9">
        <w:rPr>
          <w:rFonts w:ascii="Times New Roman" w:hAnsi="Times New Roman"/>
          <w:sz w:val="20"/>
          <w:lang w:val="hu-HU"/>
        </w:rPr>
        <w:tab/>
      </w:r>
    </w:p>
    <w:p w14:paraId="43925A83" w14:textId="62E480BA" w:rsidR="00050183" w:rsidRPr="00FA03F9" w:rsidRDefault="00050183">
      <w:pPr>
        <w:rPr>
          <w:rFonts w:ascii="Times New Roman" w:hAnsi="Times New Roman"/>
          <w:sz w:val="20"/>
          <w:lang w:val="hu-HU"/>
        </w:rPr>
      </w:pPr>
      <w:r w:rsidRPr="00FA03F9">
        <w:rPr>
          <w:rFonts w:ascii="Times New Roman" w:hAnsi="Times New Roman"/>
          <w:sz w:val="20"/>
          <w:lang w:val="hu-HU"/>
        </w:rPr>
        <w:tab/>
      </w:r>
    </w:p>
    <w:p w14:paraId="08FF6134" w14:textId="71B44E23" w:rsidR="00050183" w:rsidRPr="00FA03F9" w:rsidRDefault="00B57A34">
      <w:pPr>
        <w:pStyle w:val="Cmsor1"/>
        <w:rPr>
          <w:lang w:val="hu-HU"/>
        </w:rPr>
      </w:pPr>
      <w:r w:rsidRPr="00FA03F9">
        <w:rPr>
          <w:lang w:val="hu-HU"/>
        </w:rPr>
        <w:t>VÉGZETTSÉG ÉS KÉPESÍTÉS</w:t>
      </w:r>
    </w:p>
    <w:p w14:paraId="3C560DC3" w14:textId="77777777" w:rsidR="003106C2" w:rsidRPr="00FA03F9" w:rsidRDefault="003106C2" w:rsidP="003106C2">
      <w:pPr>
        <w:jc w:val="both"/>
        <w:rPr>
          <w:rFonts w:ascii="Times New Roman" w:hAnsi="Times New Roman"/>
          <w:sz w:val="22"/>
          <w:szCs w:val="22"/>
          <w:lang w:val="hu-HU"/>
        </w:rPr>
      </w:pPr>
      <w:r w:rsidRPr="00FA03F9">
        <w:rPr>
          <w:rFonts w:ascii="Times New Roman" w:hAnsi="Times New Roman"/>
          <w:sz w:val="22"/>
          <w:szCs w:val="22"/>
          <w:lang w:val="hu-HU"/>
        </w:rPr>
        <w:t>Egyetemi diploma:</w:t>
      </w:r>
      <w:r w:rsidRPr="00FA03F9">
        <w:rPr>
          <w:rFonts w:ascii="Times New Roman" w:hAnsi="Times New Roman"/>
          <w:sz w:val="22"/>
          <w:szCs w:val="22"/>
          <w:lang w:val="hu-HU"/>
        </w:rPr>
        <w:tab/>
      </w:r>
      <w:r w:rsidRPr="00FA03F9">
        <w:rPr>
          <w:rFonts w:ascii="Times New Roman" w:hAnsi="Times New Roman"/>
          <w:sz w:val="22"/>
          <w:szCs w:val="22"/>
          <w:lang w:val="hu-HU"/>
        </w:rPr>
        <w:tab/>
        <w:t>Általános Orvosi Kar, Pécsi Orvostudományi Egyetem</w:t>
      </w:r>
    </w:p>
    <w:p w14:paraId="4C5AC16A" w14:textId="77777777" w:rsidR="003106C2" w:rsidRPr="00FA03F9" w:rsidRDefault="003106C2" w:rsidP="003106C2">
      <w:pPr>
        <w:jc w:val="both"/>
        <w:rPr>
          <w:rFonts w:ascii="Times New Roman" w:hAnsi="Times New Roman"/>
          <w:sz w:val="22"/>
          <w:szCs w:val="22"/>
          <w:lang w:val="hu-HU"/>
        </w:rPr>
      </w:pPr>
      <w:r w:rsidRPr="00FA03F9">
        <w:rPr>
          <w:rFonts w:ascii="Times New Roman" w:hAnsi="Times New Roman"/>
          <w:sz w:val="22"/>
          <w:szCs w:val="22"/>
          <w:lang w:val="hu-HU"/>
        </w:rPr>
        <w:t>Képesítés:</w:t>
      </w:r>
      <w:r w:rsidRPr="00FA03F9">
        <w:rPr>
          <w:rFonts w:ascii="Times New Roman" w:hAnsi="Times New Roman"/>
          <w:sz w:val="22"/>
          <w:szCs w:val="22"/>
          <w:lang w:val="hu-HU"/>
        </w:rPr>
        <w:tab/>
      </w:r>
      <w:r w:rsidRPr="00FA03F9">
        <w:rPr>
          <w:rFonts w:ascii="Times New Roman" w:hAnsi="Times New Roman"/>
          <w:sz w:val="22"/>
          <w:szCs w:val="22"/>
          <w:lang w:val="hu-HU"/>
        </w:rPr>
        <w:tab/>
      </w:r>
      <w:r w:rsidRPr="00FA03F9">
        <w:rPr>
          <w:rFonts w:ascii="Times New Roman" w:hAnsi="Times New Roman"/>
          <w:sz w:val="22"/>
          <w:szCs w:val="22"/>
          <w:lang w:val="hu-HU"/>
        </w:rPr>
        <w:tab/>
        <w:t xml:space="preserve">Általános orvos, </w:t>
      </w:r>
      <w:r w:rsidRPr="00FA03F9">
        <w:rPr>
          <w:rFonts w:ascii="Times New Roman" w:hAnsi="Times New Roman"/>
          <w:i/>
          <w:sz w:val="22"/>
          <w:szCs w:val="22"/>
          <w:lang w:val="hu-HU"/>
        </w:rPr>
        <w:t>cum laude</w:t>
      </w:r>
      <w:r w:rsidRPr="00FA03F9">
        <w:rPr>
          <w:rFonts w:ascii="Times New Roman" w:hAnsi="Times New Roman"/>
          <w:sz w:val="22"/>
          <w:szCs w:val="22"/>
          <w:lang w:val="hu-HU"/>
        </w:rPr>
        <w:t>,  69-75/1987</w:t>
      </w:r>
    </w:p>
    <w:p w14:paraId="50BAD59A" w14:textId="77777777" w:rsidR="003106C2" w:rsidRPr="00FA03F9" w:rsidRDefault="003106C2" w:rsidP="003106C2">
      <w:pPr>
        <w:jc w:val="both"/>
        <w:rPr>
          <w:rFonts w:ascii="Times New Roman" w:hAnsi="Times New Roman"/>
          <w:sz w:val="22"/>
          <w:szCs w:val="22"/>
          <w:lang w:val="hu-HU"/>
        </w:rPr>
      </w:pPr>
    </w:p>
    <w:p w14:paraId="2AA14379" w14:textId="7B36E112" w:rsidR="003106C2" w:rsidRPr="00FA03F9" w:rsidRDefault="003106C2" w:rsidP="003106C2">
      <w:pPr>
        <w:ind w:left="2880" w:hanging="2880"/>
        <w:jc w:val="both"/>
        <w:rPr>
          <w:rFonts w:ascii="Times New Roman" w:hAnsi="Times New Roman"/>
          <w:sz w:val="22"/>
          <w:szCs w:val="22"/>
          <w:lang w:val="hu-HU"/>
        </w:rPr>
      </w:pPr>
      <w:r w:rsidRPr="00FA03F9">
        <w:rPr>
          <w:rFonts w:ascii="Times New Roman" w:hAnsi="Times New Roman"/>
          <w:sz w:val="22"/>
          <w:szCs w:val="22"/>
          <w:lang w:val="hu-HU"/>
        </w:rPr>
        <w:t>PhD fokozat:</w:t>
      </w:r>
      <w:r w:rsidRPr="00FA03F9">
        <w:rPr>
          <w:rFonts w:ascii="Times New Roman" w:hAnsi="Times New Roman"/>
          <w:sz w:val="22"/>
          <w:szCs w:val="22"/>
          <w:lang w:val="hu-HU"/>
        </w:rPr>
        <w:tab/>
        <w:t>Szent-</w:t>
      </w:r>
      <w:r w:rsidR="004059D2">
        <w:rPr>
          <w:rFonts w:ascii="Times New Roman" w:hAnsi="Times New Roman"/>
          <w:sz w:val="22"/>
          <w:szCs w:val="22"/>
          <w:lang w:val="hu-HU"/>
        </w:rPr>
        <w:t>G</w:t>
      </w:r>
      <w:r w:rsidRPr="00FA03F9">
        <w:rPr>
          <w:rFonts w:ascii="Times New Roman" w:hAnsi="Times New Roman"/>
          <w:sz w:val="22"/>
          <w:szCs w:val="22"/>
          <w:lang w:val="hu-HU"/>
        </w:rPr>
        <w:t xml:space="preserve">yörgyi Albert Orvostudományi Egyetem, Szeged, </w:t>
      </w:r>
    </w:p>
    <w:p w14:paraId="07A63A39" w14:textId="77777777" w:rsidR="003106C2" w:rsidRPr="00FA03F9" w:rsidRDefault="003106C2" w:rsidP="003106C2">
      <w:pPr>
        <w:ind w:left="2880"/>
        <w:jc w:val="both"/>
        <w:rPr>
          <w:rFonts w:ascii="Times New Roman" w:hAnsi="Times New Roman"/>
          <w:sz w:val="22"/>
          <w:szCs w:val="22"/>
          <w:lang w:val="hu-HU"/>
        </w:rPr>
      </w:pPr>
      <w:proofErr w:type="spellStart"/>
      <w:r w:rsidRPr="00FA03F9">
        <w:rPr>
          <w:rFonts w:ascii="Times New Roman" w:hAnsi="Times New Roman"/>
          <w:sz w:val="22"/>
          <w:szCs w:val="22"/>
          <w:lang w:val="hu-HU"/>
        </w:rPr>
        <w:t>Doctor</w:t>
      </w:r>
      <w:proofErr w:type="spellEnd"/>
      <w:r w:rsidRPr="00FA03F9">
        <w:rPr>
          <w:rFonts w:ascii="Times New Roman" w:hAnsi="Times New Roman"/>
          <w:sz w:val="22"/>
          <w:szCs w:val="22"/>
          <w:lang w:val="hu-HU"/>
        </w:rPr>
        <w:t xml:space="preserve"> of </w:t>
      </w:r>
      <w:proofErr w:type="spellStart"/>
      <w:r w:rsidRPr="00FA03F9">
        <w:rPr>
          <w:rFonts w:ascii="Times New Roman" w:hAnsi="Times New Roman"/>
          <w:sz w:val="22"/>
          <w:szCs w:val="22"/>
          <w:lang w:val="hu-HU"/>
        </w:rPr>
        <w:t>Philosophy</w:t>
      </w:r>
      <w:proofErr w:type="spellEnd"/>
      <w:r w:rsidRPr="00FA03F9">
        <w:rPr>
          <w:rFonts w:ascii="Times New Roman" w:hAnsi="Times New Roman"/>
          <w:sz w:val="22"/>
          <w:szCs w:val="22"/>
          <w:lang w:val="hu-HU"/>
        </w:rPr>
        <w:t xml:space="preserve">, </w:t>
      </w:r>
      <w:r w:rsidRPr="00FA03F9">
        <w:rPr>
          <w:rFonts w:ascii="Times New Roman" w:hAnsi="Times New Roman"/>
          <w:i/>
          <w:sz w:val="22"/>
          <w:szCs w:val="22"/>
          <w:lang w:val="hu-HU"/>
        </w:rPr>
        <w:t>summa cum laude</w:t>
      </w:r>
      <w:r w:rsidRPr="00FA03F9">
        <w:rPr>
          <w:rFonts w:ascii="Times New Roman" w:hAnsi="Times New Roman"/>
          <w:sz w:val="22"/>
          <w:szCs w:val="22"/>
          <w:lang w:val="hu-HU"/>
        </w:rPr>
        <w:t>,  3/1999</w:t>
      </w:r>
    </w:p>
    <w:p w14:paraId="7284A216" w14:textId="64A1DFB6" w:rsidR="00050183" w:rsidRPr="00FA03F9" w:rsidRDefault="00050183" w:rsidP="004D5F2C">
      <w:pPr>
        <w:rPr>
          <w:rFonts w:ascii="Times New Roman" w:hAnsi="Times New Roman"/>
          <w:sz w:val="22"/>
          <w:szCs w:val="22"/>
          <w:lang w:val="hu-HU"/>
        </w:rPr>
      </w:pPr>
      <w:r w:rsidRPr="00FA03F9">
        <w:rPr>
          <w:rFonts w:ascii="Times New Roman" w:hAnsi="Times New Roman"/>
          <w:sz w:val="22"/>
          <w:szCs w:val="22"/>
          <w:lang w:val="hu-HU"/>
        </w:rPr>
        <w:tab/>
      </w:r>
      <w:r w:rsidRPr="00FA03F9">
        <w:rPr>
          <w:rFonts w:ascii="Times New Roman" w:hAnsi="Times New Roman"/>
          <w:sz w:val="22"/>
          <w:szCs w:val="22"/>
          <w:lang w:val="hu-HU"/>
        </w:rPr>
        <w:tab/>
      </w:r>
      <w:r w:rsidRPr="00FA03F9">
        <w:rPr>
          <w:rFonts w:ascii="Times New Roman" w:hAnsi="Times New Roman"/>
          <w:sz w:val="22"/>
          <w:szCs w:val="22"/>
          <w:lang w:val="hu-HU"/>
        </w:rPr>
        <w:tab/>
      </w:r>
    </w:p>
    <w:p w14:paraId="6BA41982" w14:textId="264FAA9E" w:rsidR="00050183" w:rsidRPr="00FA03F9" w:rsidRDefault="00B57A34">
      <w:pPr>
        <w:pStyle w:val="Cmsor1"/>
        <w:rPr>
          <w:lang w:val="hu-HU"/>
        </w:rPr>
      </w:pPr>
      <w:r w:rsidRPr="00FA03F9">
        <w:rPr>
          <w:lang w:val="hu-HU"/>
        </w:rPr>
        <w:t>SZAKMAI TAPASZTALAT</w:t>
      </w:r>
    </w:p>
    <w:p w14:paraId="13FD1715" w14:textId="77777777" w:rsidR="003106C2" w:rsidRPr="00FA03F9" w:rsidRDefault="003106C2" w:rsidP="003106C2">
      <w:pPr>
        <w:jc w:val="both"/>
        <w:rPr>
          <w:rFonts w:ascii="Times New Roman" w:hAnsi="Times New Roman"/>
          <w:b/>
          <w:u w:val="single"/>
          <w:lang w:val="hu-HU"/>
        </w:rPr>
      </w:pPr>
      <w:r w:rsidRPr="00FA03F9">
        <w:rPr>
          <w:rFonts w:ascii="Times New Roman" w:hAnsi="Times New Roman"/>
          <w:b/>
          <w:u w:val="single"/>
          <w:lang w:val="hu-HU"/>
        </w:rPr>
        <w:t>Oktatási tapasztalatok, pozíciók:</w:t>
      </w:r>
    </w:p>
    <w:p w14:paraId="6F6B4FAD" w14:textId="77777777" w:rsidR="003106C2" w:rsidRPr="00FA03F9" w:rsidRDefault="003106C2" w:rsidP="003106C2">
      <w:pPr>
        <w:jc w:val="both"/>
        <w:rPr>
          <w:rFonts w:ascii="Times New Roman" w:hAnsi="Times New Roman"/>
          <w:i/>
          <w:lang w:val="hu-HU"/>
        </w:rPr>
      </w:pPr>
    </w:p>
    <w:p w14:paraId="02DC91E5" w14:textId="653D609D" w:rsidR="003106C2" w:rsidRPr="00FA03F9" w:rsidRDefault="003106C2" w:rsidP="003106C2">
      <w:pPr>
        <w:jc w:val="both"/>
        <w:rPr>
          <w:rFonts w:ascii="Times New Roman" w:hAnsi="Times New Roman"/>
          <w:sz w:val="22"/>
          <w:szCs w:val="22"/>
          <w:lang w:val="hu-HU"/>
        </w:rPr>
      </w:pPr>
      <w:r w:rsidRPr="00FA03F9">
        <w:rPr>
          <w:rFonts w:ascii="Times New Roman" w:hAnsi="Times New Roman"/>
          <w:noProof/>
          <w:sz w:val="22"/>
          <w:szCs w:val="22"/>
          <w:lang w:val="hu-HU" w:eastAsia="en-GB"/>
        </w:rPr>
        <mc:AlternateContent>
          <mc:Choice Requires="wps">
            <w:drawing>
              <wp:anchor distT="0" distB="0" distL="114300" distR="114300" simplePos="0" relativeHeight="251659264" behindDoc="0" locked="0" layoutInCell="1" allowOverlap="1" wp14:anchorId="45666DAC" wp14:editId="058A32CF">
                <wp:simplePos x="0" y="0"/>
                <wp:positionH relativeFrom="column">
                  <wp:posOffset>3269615</wp:posOffset>
                </wp:positionH>
                <wp:positionV relativeFrom="paragraph">
                  <wp:posOffset>51435</wp:posOffset>
                </wp:positionV>
                <wp:extent cx="90805" cy="4292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9260"/>
                        </a:xfrm>
                        <a:prstGeom prst="rightBrace">
                          <a:avLst>
                            <a:gd name="adj1" fmla="val 393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525B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57.45pt;margin-top:4.05pt;width:7.1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"/>
            </w:pict>
          </mc:Fallback>
        </mc:AlternateContent>
      </w:r>
      <w:r w:rsidRPr="00FA03F9">
        <w:rPr>
          <w:rFonts w:ascii="Times New Roman" w:hAnsi="Times New Roman"/>
          <w:sz w:val="22"/>
          <w:szCs w:val="22"/>
          <w:lang w:val="hu-HU"/>
        </w:rPr>
        <w:t>1983-1987</w:t>
      </w:r>
      <w:r w:rsidRPr="00FA03F9">
        <w:rPr>
          <w:rFonts w:ascii="Times New Roman" w:hAnsi="Times New Roman"/>
          <w:sz w:val="22"/>
          <w:szCs w:val="22"/>
          <w:lang w:val="hu-HU"/>
        </w:rPr>
        <w:tab/>
      </w:r>
      <w:r w:rsidRPr="00FA03F9">
        <w:rPr>
          <w:rFonts w:ascii="Times New Roman" w:hAnsi="Times New Roman"/>
          <w:sz w:val="22"/>
          <w:szCs w:val="22"/>
          <w:lang w:val="hu-HU"/>
        </w:rPr>
        <w:tab/>
      </w:r>
      <w:r w:rsidRPr="00FA03F9">
        <w:rPr>
          <w:rFonts w:ascii="Times New Roman" w:hAnsi="Times New Roman"/>
          <w:sz w:val="22"/>
          <w:szCs w:val="22"/>
          <w:lang w:val="hu-HU"/>
        </w:rPr>
        <w:tab/>
        <w:t>Demonstr</w:t>
      </w:r>
      <w:r w:rsidR="004059D2">
        <w:rPr>
          <w:rFonts w:ascii="Times New Roman" w:hAnsi="Times New Roman"/>
          <w:sz w:val="22"/>
          <w:szCs w:val="22"/>
          <w:lang w:val="hu-HU"/>
        </w:rPr>
        <w:t>á</w:t>
      </w:r>
      <w:r w:rsidRPr="00FA03F9">
        <w:rPr>
          <w:rFonts w:ascii="Times New Roman" w:hAnsi="Times New Roman"/>
          <w:sz w:val="22"/>
          <w:szCs w:val="22"/>
          <w:lang w:val="hu-HU"/>
        </w:rPr>
        <w:t>tor</w:t>
      </w:r>
      <w:r w:rsidRPr="00FA03F9">
        <w:rPr>
          <w:rFonts w:ascii="Times New Roman" w:hAnsi="Times New Roman"/>
          <w:sz w:val="22"/>
          <w:szCs w:val="22"/>
          <w:lang w:val="hu-HU"/>
        </w:rPr>
        <w:tab/>
      </w:r>
      <w:r w:rsidRPr="00FA03F9">
        <w:rPr>
          <w:rFonts w:ascii="Times New Roman" w:hAnsi="Times New Roman"/>
          <w:sz w:val="22"/>
          <w:szCs w:val="22"/>
          <w:lang w:val="hu-HU"/>
        </w:rPr>
        <w:tab/>
      </w:r>
      <w:r w:rsidRPr="00FA03F9">
        <w:rPr>
          <w:rFonts w:ascii="Times New Roman" w:hAnsi="Times New Roman"/>
          <w:sz w:val="22"/>
          <w:szCs w:val="22"/>
          <w:lang w:val="hu-HU"/>
        </w:rPr>
        <w:tab/>
        <w:t>Anatómiai, Szövet- és</w:t>
      </w:r>
    </w:p>
    <w:p w14:paraId="62D59CFC" w14:textId="77777777" w:rsidR="003106C2" w:rsidRPr="00FA03F9" w:rsidRDefault="003106C2" w:rsidP="003106C2">
      <w:pPr>
        <w:jc w:val="both"/>
        <w:rPr>
          <w:rFonts w:ascii="Times New Roman" w:hAnsi="Times New Roman"/>
          <w:sz w:val="22"/>
          <w:szCs w:val="22"/>
          <w:lang w:val="hu-HU"/>
        </w:rPr>
      </w:pPr>
      <w:r w:rsidRPr="00FA03F9">
        <w:rPr>
          <w:rFonts w:ascii="Times New Roman" w:hAnsi="Times New Roman"/>
          <w:sz w:val="22"/>
          <w:szCs w:val="22"/>
          <w:lang w:val="hu-HU"/>
        </w:rPr>
        <w:t>1987-1991</w:t>
      </w:r>
      <w:r w:rsidRPr="00FA03F9">
        <w:rPr>
          <w:rFonts w:ascii="Times New Roman" w:hAnsi="Times New Roman"/>
          <w:sz w:val="22"/>
          <w:szCs w:val="22"/>
          <w:lang w:val="hu-HU"/>
        </w:rPr>
        <w:tab/>
      </w:r>
      <w:r w:rsidRPr="00FA03F9">
        <w:rPr>
          <w:rFonts w:ascii="Times New Roman" w:hAnsi="Times New Roman"/>
          <w:sz w:val="22"/>
          <w:szCs w:val="22"/>
          <w:lang w:val="hu-HU"/>
        </w:rPr>
        <w:tab/>
      </w:r>
      <w:r w:rsidRPr="00FA03F9">
        <w:rPr>
          <w:rFonts w:ascii="Times New Roman" w:hAnsi="Times New Roman"/>
          <w:sz w:val="22"/>
          <w:szCs w:val="22"/>
          <w:lang w:val="hu-HU"/>
        </w:rPr>
        <w:tab/>
        <w:t>Intézeti orvos</w:t>
      </w:r>
      <w:r w:rsidRPr="00FA03F9">
        <w:rPr>
          <w:rFonts w:ascii="Times New Roman" w:hAnsi="Times New Roman"/>
          <w:sz w:val="22"/>
          <w:szCs w:val="22"/>
          <w:lang w:val="hu-HU"/>
        </w:rPr>
        <w:tab/>
      </w:r>
      <w:r w:rsidRPr="00FA03F9">
        <w:rPr>
          <w:rFonts w:ascii="Times New Roman" w:hAnsi="Times New Roman"/>
          <w:sz w:val="22"/>
          <w:szCs w:val="22"/>
          <w:lang w:val="hu-HU"/>
        </w:rPr>
        <w:tab/>
      </w:r>
      <w:r w:rsidRPr="00FA03F9">
        <w:rPr>
          <w:rFonts w:ascii="Times New Roman" w:hAnsi="Times New Roman"/>
          <w:sz w:val="22"/>
          <w:szCs w:val="22"/>
          <w:lang w:val="hu-HU"/>
        </w:rPr>
        <w:tab/>
        <w:t>Fejlődéstani Intézet, Pécsi</w:t>
      </w:r>
    </w:p>
    <w:p w14:paraId="37F4627D" w14:textId="77777777" w:rsidR="003106C2" w:rsidRPr="00FA03F9" w:rsidRDefault="003106C2" w:rsidP="003106C2">
      <w:pPr>
        <w:ind w:left="2880" w:hanging="2880"/>
        <w:jc w:val="both"/>
        <w:rPr>
          <w:rFonts w:ascii="Times New Roman" w:hAnsi="Times New Roman"/>
          <w:sz w:val="22"/>
          <w:szCs w:val="22"/>
          <w:lang w:val="hu-HU"/>
        </w:rPr>
      </w:pPr>
      <w:r w:rsidRPr="00FA03F9">
        <w:rPr>
          <w:rFonts w:ascii="Times New Roman" w:hAnsi="Times New Roman"/>
          <w:sz w:val="22"/>
          <w:szCs w:val="22"/>
          <w:lang w:val="hu-HU"/>
        </w:rPr>
        <w:t>1991-1993</w:t>
      </w:r>
      <w:r w:rsidRPr="00FA03F9">
        <w:rPr>
          <w:rFonts w:ascii="Times New Roman" w:hAnsi="Times New Roman"/>
          <w:sz w:val="22"/>
          <w:szCs w:val="22"/>
          <w:lang w:val="hu-HU"/>
        </w:rPr>
        <w:tab/>
        <w:t>Egyetemi tanársegéd</w:t>
      </w:r>
      <w:r w:rsidRPr="00FA03F9">
        <w:rPr>
          <w:rFonts w:ascii="Times New Roman" w:hAnsi="Times New Roman"/>
          <w:sz w:val="22"/>
          <w:szCs w:val="22"/>
          <w:lang w:val="hu-HU"/>
        </w:rPr>
        <w:tab/>
      </w:r>
      <w:r w:rsidRPr="00FA03F9">
        <w:rPr>
          <w:rFonts w:ascii="Times New Roman" w:hAnsi="Times New Roman"/>
          <w:sz w:val="22"/>
          <w:szCs w:val="22"/>
          <w:lang w:val="hu-HU"/>
        </w:rPr>
        <w:tab/>
        <w:t>Orvostudományi Egyetem, Pécs</w:t>
      </w:r>
    </w:p>
    <w:p w14:paraId="35733851" w14:textId="77777777" w:rsidR="003106C2" w:rsidRPr="00FA03F9" w:rsidRDefault="003106C2" w:rsidP="003106C2">
      <w:pPr>
        <w:jc w:val="both"/>
        <w:rPr>
          <w:rFonts w:ascii="Times New Roman" w:hAnsi="Times New Roman"/>
          <w:i/>
          <w:sz w:val="22"/>
          <w:szCs w:val="22"/>
          <w:lang w:val="hu-HU"/>
        </w:rPr>
      </w:pPr>
    </w:p>
    <w:p w14:paraId="20444C47" w14:textId="77777777" w:rsidR="003106C2" w:rsidRPr="00FA03F9" w:rsidRDefault="003106C2" w:rsidP="003106C2">
      <w:pPr>
        <w:ind w:left="2880" w:hanging="2880"/>
        <w:jc w:val="both"/>
        <w:rPr>
          <w:rFonts w:ascii="Times New Roman" w:hAnsi="Times New Roman"/>
          <w:sz w:val="22"/>
          <w:szCs w:val="22"/>
          <w:lang w:val="hu-HU"/>
        </w:rPr>
      </w:pPr>
      <w:r w:rsidRPr="00FA03F9">
        <w:rPr>
          <w:rFonts w:ascii="Times New Roman" w:hAnsi="Times New Roman"/>
          <w:sz w:val="22"/>
          <w:szCs w:val="22"/>
          <w:lang w:val="hu-HU"/>
        </w:rPr>
        <w:t>1993-1999</w:t>
      </w:r>
      <w:r w:rsidRPr="00FA03F9">
        <w:rPr>
          <w:rFonts w:ascii="Times New Roman" w:hAnsi="Times New Roman"/>
          <w:sz w:val="22"/>
          <w:szCs w:val="22"/>
          <w:lang w:val="hu-HU"/>
        </w:rPr>
        <w:tab/>
        <w:t>Egyetemi tanársegéd, Szent-Györgyi Albert Orvostudományi Egyetem, Anatómiai, Szövet- és Fejlődéstani Intézet</w:t>
      </w:r>
    </w:p>
    <w:p w14:paraId="772EF2E4" w14:textId="77777777" w:rsidR="003106C2" w:rsidRPr="00FA03F9" w:rsidRDefault="003106C2" w:rsidP="003106C2">
      <w:pPr>
        <w:jc w:val="both"/>
        <w:rPr>
          <w:rFonts w:ascii="Times New Roman" w:hAnsi="Times New Roman"/>
          <w:sz w:val="22"/>
          <w:szCs w:val="22"/>
          <w:lang w:val="hu-HU"/>
        </w:rPr>
      </w:pPr>
    </w:p>
    <w:p w14:paraId="5F291062" w14:textId="77777777" w:rsidR="003106C2" w:rsidRPr="00FA03F9" w:rsidRDefault="003106C2" w:rsidP="003106C2">
      <w:pPr>
        <w:ind w:left="2880" w:hanging="2880"/>
        <w:jc w:val="both"/>
        <w:rPr>
          <w:rFonts w:ascii="Times New Roman" w:hAnsi="Times New Roman"/>
          <w:sz w:val="22"/>
          <w:szCs w:val="22"/>
          <w:lang w:val="hu-HU"/>
        </w:rPr>
      </w:pPr>
      <w:r w:rsidRPr="00FA03F9">
        <w:rPr>
          <w:rFonts w:ascii="Times New Roman" w:hAnsi="Times New Roman"/>
          <w:sz w:val="22"/>
          <w:szCs w:val="22"/>
          <w:lang w:val="hu-HU"/>
        </w:rPr>
        <w:t>2001-jelen</w:t>
      </w:r>
      <w:r w:rsidRPr="00FA03F9">
        <w:rPr>
          <w:rFonts w:ascii="Times" w:hAnsi="Times"/>
          <w:sz w:val="22"/>
          <w:szCs w:val="22"/>
          <w:lang w:val="hu-HU"/>
        </w:rPr>
        <w:tab/>
      </w:r>
      <w:r w:rsidRPr="00FA03F9">
        <w:rPr>
          <w:rFonts w:ascii="Times New Roman" w:hAnsi="Times New Roman"/>
          <w:sz w:val="22"/>
          <w:szCs w:val="22"/>
          <w:lang w:val="hu-HU"/>
        </w:rPr>
        <w:t>Egyetemi docens, Pázmány Péter Katolikus Egyetem, Információs Technológiai Kar, Budapest</w:t>
      </w:r>
    </w:p>
    <w:p w14:paraId="0AD20149" w14:textId="2C75CDA4" w:rsidR="003106C2" w:rsidRPr="00FA03F9" w:rsidRDefault="003106C2" w:rsidP="003106C2">
      <w:pPr>
        <w:ind w:left="2880" w:hanging="2880"/>
        <w:jc w:val="both"/>
        <w:rPr>
          <w:rFonts w:ascii="Times New Roman" w:hAnsi="Times New Roman"/>
          <w:lang w:val="hu-HU"/>
        </w:rPr>
      </w:pPr>
      <w:r w:rsidRPr="00FA03F9">
        <w:rPr>
          <w:rFonts w:ascii="Times New Roman" w:hAnsi="Times New Roman"/>
          <w:b/>
          <w:u w:val="single"/>
          <w:lang w:val="hu-HU"/>
        </w:rPr>
        <w:t>Kutatási tapasztalatok, pozíciók</w:t>
      </w:r>
      <w:r w:rsidRPr="00FA03F9">
        <w:rPr>
          <w:rFonts w:ascii="Times New Roman" w:hAnsi="Times New Roman"/>
          <w:b/>
          <w:bCs/>
          <w:u w:val="single"/>
          <w:lang w:val="hu-HU"/>
        </w:rPr>
        <w:t>:</w:t>
      </w:r>
      <w:r w:rsidRPr="00FA03F9">
        <w:rPr>
          <w:rFonts w:ascii="Times New Roman" w:hAnsi="Times New Roman"/>
          <w:lang w:val="hu-HU"/>
        </w:rPr>
        <w:t xml:space="preserve"> </w:t>
      </w:r>
    </w:p>
    <w:p w14:paraId="57D1BE87" w14:textId="77777777" w:rsidR="003106C2" w:rsidRPr="00FA03F9" w:rsidRDefault="003106C2" w:rsidP="003106C2">
      <w:pPr>
        <w:ind w:left="2880" w:hanging="2880"/>
        <w:jc w:val="both"/>
        <w:rPr>
          <w:rFonts w:ascii="Times New Roman" w:hAnsi="Times New Roman"/>
          <w:lang w:val="hu-HU"/>
        </w:rPr>
      </w:pPr>
    </w:p>
    <w:p w14:paraId="50A462C6" w14:textId="77777777" w:rsidR="00FA03F9" w:rsidRDefault="003106C2" w:rsidP="0030519F">
      <w:pPr>
        <w:jc w:val="both"/>
        <w:rPr>
          <w:rFonts w:ascii="Times New Roman" w:hAnsi="Times New Roman"/>
          <w:sz w:val="22"/>
          <w:szCs w:val="22"/>
          <w:lang w:val="hu-HU"/>
        </w:rPr>
      </w:pPr>
      <w:r w:rsidRPr="00FA03F9">
        <w:rPr>
          <w:rFonts w:ascii="Times New Roman" w:hAnsi="Times New Roman"/>
          <w:sz w:val="22"/>
          <w:szCs w:val="22"/>
          <w:lang w:val="hu-HU"/>
        </w:rPr>
        <w:t>1990-1994 (4x3 hónap)</w:t>
      </w:r>
      <w:r w:rsidRPr="00FA03F9">
        <w:rPr>
          <w:rFonts w:ascii="Times New Roman" w:hAnsi="Times New Roman"/>
          <w:sz w:val="22"/>
          <w:szCs w:val="22"/>
          <w:lang w:val="hu-HU"/>
        </w:rPr>
        <w:tab/>
      </w:r>
      <w:r w:rsidR="00FA03F9">
        <w:rPr>
          <w:rFonts w:ascii="Times New Roman" w:hAnsi="Times New Roman"/>
          <w:sz w:val="22"/>
          <w:szCs w:val="22"/>
          <w:lang w:val="hu-HU"/>
        </w:rPr>
        <w:tab/>
      </w:r>
      <w:r w:rsidRPr="00FA03F9">
        <w:rPr>
          <w:rFonts w:ascii="Times New Roman" w:hAnsi="Times New Roman"/>
          <w:sz w:val="22"/>
          <w:szCs w:val="22"/>
          <w:lang w:val="hu-HU"/>
        </w:rPr>
        <w:t>Tudományos ösztöndíjas, Anatomy, Cell &amp; Human Biology Group School</w:t>
      </w:r>
      <w:r w:rsidR="0030519F" w:rsidRPr="00FA03F9">
        <w:rPr>
          <w:rFonts w:ascii="Times New Roman" w:hAnsi="Times New Roman"/>
          <w:sz w:val="22"/>
          <w:szCs w:val="22"/>
          <w:lang w:val="hu-HU"/>
        </w:rPr>
        <w:t xml:space="preserve"> </w:t>
      </w:r>
    </w:p>
    <w:p w14:paraId="63A9CDD8" w14:textId="7BC85CFD" w:rsidR="003106C2" w:rsidRPr="00FA03F9" w:rsidRDefault="0030519F" w:rsidP="0030519F">
      <w:pPr>
        <w:jc w:val="both"/>
        <w:rPr>
          <w:rFonts w:ascii="Times New Roman" w:hAnsi="Times New Roman"/>
          <w:sz w:val="22"/>
          <w:szCs w:val="22"/>
          <w:lang w:val="hu-HU"/>
        </w:rPr>
      </w:pPr>
      <w:r w:rsidRPr="00FA03F9">
        <w:rPr>
          <w:rFonts w:ascii="Times New Roman" w:hAnsi="Times New Roman"/>
          <w:sz w:val="22"/>
          <w:szCs w:val="22"/>
          <w:lang w:val="hu-HU"/>
        </w:rPr>
        <w:t>1998-2001</w:t>
      </w:r>
      <w:r w:rsidR="003106C2" w:rsidRPr="00FA03F9">
        <w:rPr>
          <w:rFonts w:ascii="Times New Roman" w:hAnsi="Times New Roman"/>
          <w:sz w:val="22"/>
          <w:szCs w:val="22"/>
          <w:lang w:val="hu-HU"/>
        </w:rPr>
        <w:t xml:space="preserve"> </w:t>
      </w:r>
      <w:r w:rsidRPr="00FA03F9">
        <w:rPr>
          <w:rFonts w:ascii="Times New Roman" w:hAnsi="Times New Roman"/>
          <w:sz w:val="22"/>
          <w:szCs w:val="22"/>
          <w:lang w:val="hu-HU"/>
        </w:rPr>
        <w:tab/>
      </w:r>
      <w:r w:rsidRPr="00FA03F9">
        <w:rPr>
          <w:rFonts w:ascii="Times New Roman" w:hAnsi="Times New Roman"/>
          <w:sz w:val="22"/>
          <w:szCs w:val="22"/>
          <w:lang w:val="hu-HU"/>
        </w:rPr>
        <w:tab/>
      </w:r>
      <w:r w:rsidRPr="00FA03F9">
        <w:rPr>
          <w:rFonts w:ascii="Times New Roman" w:hAnsi="Times New Roman"/>
          <w:sz w:val="22"/>
          <w:szCs w:val="22"/>
          <w:lang w:val="hu-HU"/>
        </w:rPr>
        <w:tab/>
      </w:r>
      <w:r w:rsidR="003106C2" w:rsidRPr="00FA03F9">
        <w:rPr>
          <w:rFonts w:ascii="Times New Roman" w:hAnsi="Times New Roman"/>
          <w:sz w:val="22"/>
          <w:szCs w:val="22"/>
          <w:lang w:val="hu-HU"/>
        </w:rPr>
        <w:t xml:space="preserve">of </w:t>
      </w:r>
      <w:proofErr w:type="spellStart"/>
      <w:r w:rsidR="003106C2" w:rsidRPr="00FA03F9">
        <w:rPr>
          <w:rFonts w:ascii="Times New Roman" w:hAnsi="Times New Roman"/>
          <w:sz w:val="22"/>
          <w:szCs w:val="22"/>
          <w:lang w:val="hu-HU"/>
        </w:rPr>
        <w:t>Biological</w:t>
      </w:r>
      <w:proofErr w:type="spellEnd"/>
      <w:r w:rsidR="003106C2" w:rsidRPr="00FA03F9">
        <w:rPr>
          <w:rFonts w:ascii="Times New Roman" w:hAnsi="Times New Roman"/>
          <w:sz w:val="22"/>
          <w:szCs w:val="22"/>
          <w:lang w:val="hu-HU"/>
        </w:rPr>
        <w:t xml:space="preserve"> </w:t>
      </w:r>
      <w:proofErr w:type="spellStart"/>
      <w:r w:rsidR="003106C2" w:rsidRPr="00FA03F9">
        <w:rPr>
          <w:rFonts w:ascii="Times New Roman" w:hAnsi="Times New Roman"/>
          <w:sz w:val="22"/>
          <w:szCs w:val="22"/>
          <w:lang w:val="hu-HU"/>
        </w:rPr>
        <w:t>Sciences</w:t>
      </w:r>
      <w:proofErr w:type="spellEnd"/>
      <w:r w:rsidR="003106C2" w:rsidRPr="00FA03F9">
        <w:rPr>
          <w:rFonts w:ascii="Times New Roman" w:hAnsi="Times New Roman"/>
          <w:sz w:val="22"/>
          <w:szCs w:val="22"/>
          <w:lang w:val="hu-HU"/>
        </w:rPr>
        <w:t xml:space="preserve">, </w:t>
      </w:r>
      <w:proofErr w:type="spellStart"/>
      <w:r w:rsidR="003106C2" w:rsidRPr="00FA03F9">
        <w:rPr>
          <w:rFonts w:ascii="Times New Roman" w:hAnsi="Times New Roman"/>
          <w:sz w:val="22"/>
          <w:szCs w:val="22"/>
          <w:lang w:val="hu-HU"/>
        </w:rPr>
        <w:t>King’s</w:t>
      </w:r>
      <w:proofErr w:type="spellEnd"/>
      <w:r w:rsidR="003106C2" w:rsidRPr="00FA03F9">
        <w:rPr>
          <w:rFonts w:ascii="Times New Roman" w:hAnsi="Times New Roman"/>
          <w:sz w:val="22"/>
          <w:szCs w:val="22"/>
          <w:lang w:val="hu-HU"/>
        </w:rPr>
        <w:t xml:space="preserve"> College London, UK. Neuro</w:t>
      </w:r>
      <w:r w:rsidRPr="00FA03F9">
        <w:rPr>
          <w:rFonts w:ascii="Times New Roman" w:hAnsi="Times New Roman"/>
          <w:sz w:val="22"/>
          <w:szCs w:val="22"/>
          <w:lang w:val="hu-HU"/>
        </w:rPr>
        <w:t>biológia</w:t>
      </w:r>
    </w:p>
    <w:p w14:paraId="044AC039" w14:textId="77777777" w:rsidR="003106C2" w:rsidRPr="00FA03F9" w:rsidRDefault="003106C2" w:rsidP="003106C2">
      <w:pPr>
        <w:ind w:left="2880" w:hanging="2880"/>
        <w:jc w:val="both"/>
        <w:rPr>
          <w:rFonts w:ascii="Times New Roman" w:hAnsi="Times New Roman"/>
          <w:sz w:val="22"/>
          <w:szCs w:val="22"/>
          <w:lang w:val="hu-HU"/>
        </w:rPr>
      </w:pPr>
    </w:p>
    <w:p w14:paraId="42BCFBA3" w14:textId="77777777" w:rsidR="003106C2" w:rsidRPr="00FA03F9" w:rsidRDefault="003106C2" w:rsidP="003106C2">
      <w:pPr>
        <w:ind w:left="2880" w:hanging="2880"/>
        <w:jc w:val="both"/>
        <w:rPr>
          <w:rFonts w:ascii="Times New Roman" w:hAnsi="Times New Roman"/>
          <w:sz w:val="22"/>
          <w:szCs w:val="22"/>
          <w:lang w:val="hu-HU"/>
        </w:rPr>
      </w:pPr>
      <w:r w:rsidRPr="00FA03F9">
        <w:rPr>
          <w:rFonts w:ascii="Times New Roman" w:hAnsi="Times New Roman"/>
          <w:sz w:val="22"/>
          <w:szCs w:val="22"/>
          <w:lang w:val="hu-HU"/>
        </w:rPr>
        <w:t>1997-1998 (4 hónap)</w:t>
      </w:r>
      <w:r w:rsidRPr="00FA03F9">
        <w:rPr>
          <w:rFonts w:ascii="Times New Roman" w:hAnsi="Times New Roman"/>
          <w:sz w:val="22"/>
          <w:szCs w:val="22"/>
          <w:lang w:val="hu-HU"/>
        </w:rPr>
        <w:tab/>
        <w:t xml:space="preserve">Tudományos ösztöndíjas, Center for Molecular and </w:t>
      </w:r>
      <w:proofErr w:type="spellStart"/>
      <w:r w:rsidRPr="00FA03F9">
        <w:rPr>
          <w:rFonts w:ascii="Times New Roman" w:hAnsi="Times New Roman"/>
          <w:sz w:val="22"/>
          <w:szCs w:val="22"/>
          <w:lang w:val="hu-HU"/>
        </w:rPr>
        <w:t>Behavioral</w:t>
      </w:r>
      <w:proofErr w:type="spellEnd"/>
      <w:r w:rsidRPr="00FA03F9">
        <w:rPr>
          <w:rFonts w:ascii="Times New Roman" w:hAnsi="Times New Roman"/>
          <w:sz w:val="22"/>
          <w:szCs w:val="22"/>
          <w:lang w:val="hu-HU"/>
        </w:rPr>
        <w:t xml:space="preserve"> </w:t>
      </w:r>
      <w:proofErr w:type="spellStart"/>
      <w:r w:rsidRPr="00FA03F9">
        <w:rPr>
          <w:rFonts w:ascii="Times New Roman" w:hAnsi="Times New Roman"/>
          <w:sz w:val="22"/>
          <w:szCs w:val="22"/>
          <w:lang w:val="hu-HU"/>
        </w:rPr>
        <w:t>Neuroscience</w:t>
      </w:r>
      <w:proofErr w:type="spellEnd"/>
      <w:r w:rsidRPr="00FA03F9">
        <w:rPr>
          <w:rFonts w:ascii="Times New Roman" w:hAnsi="Times New Roman"/>
          <w:sz w:val="22"/>
          <w:szCs w:val="22"/>
          <w:lang w:val="hu-HU"/>
        </w:rPr>
        <w:t xml:space="preserve">, </w:t>
      </w:r>
      <w:proofErr w:type="spellStart"/>
      <w:r w:rsidRPr="00FA03F9">
        <w:rPr>
          <w:rFonts w:ascii="Times New Roman" w:hAnsi="Times New Roman"/>
          <w:sz w:val="22"/>
          <w:szCs w:val="22"/>
          <w:lang w:val="hu-HU"/>
        </w:rPr>
        <w:t>Rutgers</w:t>
      </w:r>
      <w:proofErr w:type="spellEnd"/>
      <w:r w:rsidRPr="00FA03F9">
        <w:rPr>
          <w:rFonts w:ascii="Times New Roman" w:hAnsi="Times New Roman"/>
          <w:sz w:val="22"/>
          <w:szCs w:val="22"/>
          <w:lang w:val="hu-HU"/>
        </w:rPr>
        <w:t xml:space="preserve">, </w:t>
      </w:r>
      <w:proofErr w:type="spellStart"/>
      <w:r w:rsidRPr="00FA03F9">
        <w:rPr>
          <w:rFonts w:ascii="Times New Roman" w:hAnsi="Times New Roman"/>
          <w:sz w:val="22"/>
          <w:szCs w:val="22"/>
          <w:lang w:val="hu-HU"/>
        </w:rPr>
        <w:t>the</w:t>
      </w:r>
      <w:proofErr w:type="spellEnd"/>
      <w:r w:rsidRPr="00FA03F9">
        <w:rPr>
          <w:rFonts w:ascii="Times New Roman" w:hAnsi="Times New Roman"/>
          <w:sz w:val="22"/>
          <w:szCs w:val="22"/>
          <w:lang w:val="hu-HU"/>
        </w:rPr>
        <w:t xml:space="preserve"> </w:t>
      </w:r>
      <w:proofErr w:type="spellStart"/>
      <w:r w:rsidRPr="00FA03F9">
        <w:rPr>
          <w:rFonts w:ascii="Times New Roman" w:hAnsi="Times New Roman"/>
          <w:sz w:val="22"/>
          <w:szCs w:val="22"/>
          <w:lang w:val="hu-HU"/>
        </w:rPr>
        <w:t>State</w:t>
      </w:r>
      <w:proofErr w:type="spellEnd"/>
      <w:r w:rsidRPr="00FA03F9">
        <w:rPr>
          <w:rFonts w:ascii="Times New Roman" w:hAnsi="Times New Roman"/>
          <w:sz w:val="22"/>
          <w:szCs w:val="22"/>
          <w:lang w:val="hu-HU"/>
        </w:rPr>
        <w:t xml:space="preserve"> University, </w:t>
      </w:r>
      <w:proofErr w:type="spellStart"/>
      <w:r w:rsidRPr="00FA03F9">
        <w:rPr>
          <w:rFonts w:ascii="Times New Roman" w:hAnsi="Times New Roman"/>
          <w:sz w:val="22"/>
          <w:szCs w:val="22"/>
          <w:lang w:val="hu-HU"/>
        </w:rPr>
        <w:t>Newark</w:t>
      </w:r>
      <w:proofErr w:type="spellEnd"/>
      <w:r w:rsidRPr="00FA03F9">
        <w:rPr>
          <w:rFonts w:ascii="Times New Roman" w:hAnsi="Times New Roman"/>
          <w:sz w:val="22"/>
          <w:szCs w:val="22"/>
          <w:lang w:val="hu-HU"/>
        </w:rPr>
        <w:t xml:space="preserve">, USA. </w:t>
      </w:r>
      <w:proofErr w:type="spellStart"/>
      <w:r w:rsidRPr="00FA03F9">
        <w:rPr>
          <w:rFonts w:ascii="Times New Roman" w:hAnsi="Times New Roman"/>
          <w:sz w:val="22"/>
          <w:szCs w:val="22"/>
          <w:lang w:val="hu-HU"/>
        </w:rPr>
        <w:t>Neuroanatómia</w:t>
      </w:r>
      <w:proofErr w:type="spellEnd"/>
    </w:p>
    <w:p w14:paraId="670E6724" w14:textId="77777777" w:rsidR="003106C2" w:rsidRPr="00FA03F9" w:rsidRDefault="003106C2" w:rsidP="003106C2">
      <w:pPr>
        <w:ind w:left="2880" w:hanging="2880"/>
        <w:jc w:val="both"/>
        <w:rPr>
          <w:rFonts w:ascii="Times" w:hAnsi="Times"/>
          <w:b/>
          <w:sz w:val="22"/>
          <w:szCs w:val="22"/>
          <w:u w:val="single"/>
          <w:lang w:val="hu-HU"/>
        </w:rPr>
      </w:pPr>
    </w:p>
    <w:p w14:paraId="0AE82187" w14:textId="0C37B65E" w:rsidR="003106C2" w:rsidRPr="00FA03F9" w:rsidRDefault="003106C2" w:rsidP="003106C2">
      <w:pPr>
        <w:ind w:left="2880" w:hanging="2880"/>
        <w:jc w:val="both"/>
        <w:rPr>
          <w:rFonts w:ascii="Times" w:hAnsi="Times"/>
          <w:b/>
          <w:sz w:val="22"/>
          <w:szCs w:val="22"/>
          <w:lang w:val="hu-HU"/>
        </w:rPr>
      </w:pPr>
      <w:r w:rsidRPr="00FA03F9">
        <w:rPr>
          <w:rFonts w:ascii="Times New Roman" w:hAnsi="Times New Roman"/>
          <w:sz w:val="22"/>
          <w:szCs w:val="22"/>
          <w:lang w:val="hu-HU"/>
        </w:rPr>
        <w:t>1999-jelen</w:t>
      </w:r>
      <w:r w:rsidRPr="00FA03F9">
        <w:rPr>
          <w:rFonts w:ascii="Times New Roman" w:hAnsi="Times New Roman"/>
          <w:i/>
          <w:sz w:val="22"/>
          <w:szCs w:val="22"/>
          <w:lang w:val="hu-HU"/>
        </w:rPr>
        <w:tab/>
      </w:r>
      <w:r w:rsidRPr="00FA03F9">
        <w:rPr>
          <w:rFonts w:ascii="Times New Roman" w:hAnsi="Times New Roman"/>
          <w:sz w:val="22"/>
          <w:szCs w:val="22"/>
          <w:lang w:val="hu-HU"/>
        </w:rPr>
        <w:t>Tudományos főmunkatárs, Endokrin neurobiológia laboratórium, Kísérleti Orvostudományi Kutatóintézet, Budapest</w:t>
      </w:r>
      <w:r w:rsidR="0030519F" w:rsidRPr="00FA03F9">
        <w:rPr>
          <w:rFonts w:ascii="Times New Roman" w:hAnsi="Times New Roman"/>
          <w:sz w:val="22"/>
          <w:szCs w:val="22"/>
          <w:lang w:val="hu-HU"/>
        </w:rPr>
        <w:t>. Neurobiológia</w:t>
      </w:r>
    </w:p>
    <w:p w14:paraId="418ED90A" w14:textId="1F63130F" w:rsidR="00050183" w:rsidRPr="00FA03F9" w:rsidRDefault="00B57A34">
      <w:pPr>
        <w:pStyle w:val="Cmsor1"/>
        <w:rPr>
          <w:lang w:val="hu-HU"/>
        </w:rPr>
      </w:pPr>
      <w:r w:rsidRPr="00FA03F9">
        <w:rPr>
          <w:lang w:val="hu-HU"/>
        </w:rPr>
        <w:t>EREDMÉNYEK</w:t>
      </w:r>
    </w:p>
    <w:p w14:paraId="202930A6" w14:textId="6A4228CC" w:rsidR="00050183" w:rsidRPr="00FA03F9" w:rsidRDefault="00B57A34">
      <w:pPr>
        <w:rPr>
          <w:rFonts w:ascii="Times New Roman" w:hAnsi="Times New Roman"/>
          <w:sz w:val="20"/>
          <w:lang w:val="hu-HU"/>
        </w:rPr>
      </w:pPr>
      <w:r w:rsidRPr="00FA03F9">
        <w:rPr>
          <w:rFonts w:ascii="Times New Roman" w:hAnsi="Times New Roman"/>
          <w:i/>
          <w:sz w:val="20"/>
          <w:lang w:val="hu-HU"/>
        </w:rPr>
        <w:t>Díjak</w:t>
      </w:r>
      <w:r w:rsidR="00050183" w:rsidRPr="00FA03F9">
        <w:rPr>
          <w:rFonts w:ascii="Times New Roman" w:hAnsi="Times New Roman"/>
          <w:sz w:val="20"/>
          <w:lang w:val="hu-HU"/>
        </w:rPr>
        <w:t>:</w:t>
      </w:r>
    </w:p>
    <w:p w14:paraId="65E2BBC7" w14:textId="3631C2AE" w:rsidR="003106C2" w:rsidRPr="00FA03F9" w:rsidRDefault="003106C2" w:rsidP="0030519F">
      <w:pPr>
        <w:ind w:left="2880" w:hanging="2880"/>
        <w:jc w:val="both"/>
        <w:rPr>
          <w:rFonts w:ascii="Times New Roman" w:hAnsi="Times New Roman"/>
          <w:sz w:val="22"/>
          <w:szCs w:val="22"/>
          <w:lang w:val="hu-HU"/>
        </w:rPr>
      </w:pPr>
      <w:r w:rsidRPr="00FA03F9">
        <w:rPr>
          <w:rFonts w:ascii="Times New Roman" w:hAnsi="Times New Roman"/>
          <w:sz w:val="22"/>
          <w:szCs w:val="22"/>
          <w:lang w:val="hu-HU"/>
        </w:rPr>
        <w:t>1992</w:t>
      </w:r>
      <w:r w:rsidRPr="00FA03F9">
        <w:rPr>
          <w:rFonts w:ascii="Times New Roman" w:hAnsi="Times New Roman"/>
          <w:sz w:val="22"/>
          <w:szCs w:val="22"/>
          <w:lang w:val="hu-HU"/>
        </w:rPr>
        <w:tab/>
      </w:r>
      <w:r w:rsidRPr="00FA03F9">
        <w:rPr>
          <w:rFonts w:ascii="Times New Roman" w:hAnsi="Times New Roman"/>
          <w:i/>
          <w:sz w:val="22"/>
          <w:szCs w:val="22"/>
          <w:lang w:val="hu-HU"/>
        </w:rPr>
        <w:t xml:space="preserve">"Young </w:t>
      </w:r>
      <w:proofErr w:type="spellStart"/>
      <w:r w:rsidRPr="00FA03F9">
        <w:rPr>
          <w:rFonts w:ascii="Times New Roman" w:hAnsi="Times New Roman"/>
          <w:i/>
          <w:sz w:val="22"/>
          <w:szCs w:val="22"/>
          <w:lang w:val="hu-HU"/>
        </w:rPr>
        <w:t>Histochemist</w:t>
      </w:r>
      <w:proofErr w:type="spellEnd"/>
      <w:r w:rsidRPr="00FA03F9">
        <w:rPr>
          <w:rFonts w:ascii="Times New Roman" w:hAnsi="Times New Roman"/>
          <w:i/>
          <w:sz w:val="22"/>
          <w:szCs w:val="22"/>
          <w:lang w:val="hu-HU"/>
        </w:rPr>
        <w:t>",</w:t>
      </w:r>
      <w:r w:rsidRPr="00FA03F9">
        <w:rPr>
          <w:rFonts w:ascii="Times New Roman" w:hAnsi="Times New Roman"/>
          <w:sz w:val="22"/>
          <w:szCs w:val="22"/>
          <w:lang w:val="hu-HU"/>
        </w:rPr>
        <w:t xml:space="preserve"> 9. Nemzetközi </w:t>
      </w:r>
      <w:proofErr w:type="spellStart"/>
      <w:r w:rsidRPr="00FA03F9">
        <w:rPr>
          <w:rFonts w:ascii="Times New Roman" w:hAnsi="Times New Roman"/>
          <w:sz w:val="22"/>
          <w:szCs w:val="22"/>
          <w:lang w:val="hu-HU"/>
        </w:rPr>
        <w:t>Hiszto</w:t>
      </w:r>
      <w:proofErr w:type="spellEnd"/>
      <w:r w:rsidRPr="00FA03F9">
        <w:rPr>
          <w:rFonts w:ascii="Times New Roman" w:hAnsi="Times New Roman"/>
          <w:sz w:val="22"/>
          <w:szCs w:val="22"/>
          <w:lang w:val="hu-HU"/>
        </w:rPr>
        <w:t xml:space="preserve">- és </w:t>
      </w:r>
      <w:proofErr w:type="spellStart"/>
      <w:r w:rsidRPr="00FA03F9">
        <w:rPr>
          <w:rFonts w:ascii="Times New Roman" w:hAnsi="Times New Roman"/>
          <w:sz w:val="22"/>
          <w:szCs w:val="22"/>
          <w:lang w:val="hu-HU"/>
        </w:rPr>
        <w:t>Citokémiai</w:t>
      </w:r>
      <w:proofErr w:type="spellEnd"/>
      <w:r w:rsidRPr="00FA03F9">
        <w:rPr>
          <w:rFonts w:ascii="Times New Roman" w:hAnsi="Times New Roman"/>
          <w:sz w:val="22"/>
          <w:szCs w:val="22"/>
          <w:lang w:val="hu-HU"/>
        </w:rPr>
        <w:t xml:space="preserve"> Kongresszus, Maastricht, Hollandia</w:t>
      </w:r>
    </w:p>
    <w:p w14:paraId="44F4E584" w14:textId="77777777" w:rsidR="00835531" w:rsidRPr="00FA03F9" w:rsidRDefault="00835531">
      <w:pPr>
        <w:rPr>
          <w:rFonts w:ascii="Times New Roman" w:hAnsi="Times New Roman"/>
          <w:b/>
          <w:sz w:val="20"/>
          <w:u w:val="single"/>
          <w:lang w:val="hu-HU"/>
        </w:rPr>
      </w:pPr>
    </w:p>
    <w:p w14:paraId="0215D3EC" w14:textId="0B0BCD21" w:rsidR="00050183" w:rsidRPr="00FA03F9" w:rsidRDefault="00B57A34">
      <w:pPr>
        <w:pStyle w:val="Cmsor1"/>
        <w:rPr>
          <w:b w:val="0"/>
          <w:bCs/>
          <w:i/>
          <w:iCs/>
          <w:sz w:val="20"/>
          <w:lang w:val="hu-HU"/>
        </w:rPr>
      </w:pPr>
      <w:r w:rsidRPr="00FA03F9">
        <w:rPr>
          <w:b w:val="0"/>
          <w:bCs/>
          <w:i/>
          <w:iCs/>
          <w:sz w:val="20"/>
          <w:lang w:val="hu-HU"/>
        </w:rPr>
        <w:t>Ösztöndíjak és pályázati támogatások</w:t>
      </w:r>
      <w:r w:rsidR="00050183" w:rsidRPr="00FA03F9">
        <w:rPr>
          <w:b w:val="0"/>
          <w:bCs/>
          <w:i/>
          <w:iCs/>
          <w:sz w:val="20"/>
          <w:lang w:val="hu-HU"/>
        </w:rPr>
        <w:t>:</w:t>
      </w:r>
    </w:p>
    <w:p w14:paraId="2DBC9FF0" w14:textId="77777777" w:rsidR="003106C2" w:rsidRPr="00FA03F9" w:rsidRDefault="003106C2" w:rsidP="003106C2">
      <w:pPr>
        <w:rPr>
          <w:lang w:val="hu-HU"/>
        </w:rPr>
      </w:pPr>
    </w:p>
    <w:p w14:paraId="481C1ED7" w14:textId="26E2B597" w:rsidR="0030519F" w:rsidRPr="00FA03F9" w:rsidRDefault="00CF1897" w:rsidP="0030519F">
      <w:pPr>
        <w:ind w:left="2127" w:hanging="2127"/>
        <w:jc w:val="both"/>
        <w:rPr>
          <w:rFonts w:ascii="Times New Roman" w:hAnsi="Times New Roman"/>
          <w:sz w:val="22"/>
          <w:szCs w:val="22"/>
          <w:lang w:val="hu-HU"/>
        </w:rPr>
      </w:pPr>
      <w:r>
        <w:rPr>
          <w:rFonts w:ascii="Times New Roman" w:hAnsi="Times New Roman"/>
          <w:sz w:val="22"/>
          <w:szCs w:val="22"/>
          <w:lang w:val="hu-HU"/>
        </w:rPr>
        <w:t>1</w:t>
      </w:r>
      <w:r w:rsidR="0030519F" w:rsidRPr="00FA03F9">
        <w:rPr>
          <w:rFonts w:ascii="Times New Roman" w:hAnsi="Times New Roman"/>
          <w:sz w:val="22"/>
          <w:szCs w:val="22"/>
          <w:lang w:val="hu-HU"/>
        </w:rPr>
        <w:t>999-2002</w:t>
      </w:r>
      <w:r w:rsidR="0030519F" w:rsidRPr="00FA03F9">
        <w:rPr>
          <w:rFonts w:ascii="Times New Roman" w:hAnsi="Times New Roman"/>
          <w:sz w:val="22"/>
          <w:szCs w:val="22"/>
          <w:lang w:val="hu-HU"/>
        </w:rPr>
        <w:tab/>
      </w:r>
      <w:r w:rsidR="0030519F" w:rsidRPr="00FA03F9">
        <w:rPr>
          <w:rFonts w:ascii="Times New Roman" w:hAnsi="Times New Roman"/>
          <w:i/>
          <w:sz w:val="22"/>
          <w:szCs w:val="22"/>
          <w:lang w:val="hu-HU"/>
        </w:rPr>
        <w:t xml:space="preserve">“Opening </w:t>
      </w:r>
      <w:proofErr w:type="spellStart"/>
      <w:r w:rsidR="0030519F" w:rsidRPr="00FA03F9">
        <w:rPr>
          <w:rFonts w:ascii="Times New Roman" w:hAnsi="Times New Roman"/>
          <w:i/>
          <w:sz w:val="22"/>
          <w:szCs w:val="22"/>
          <w:lang w:val="hu-HU"/>
        </w:rPr>
        <w:t>up</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the</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black</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box</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known</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as</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the</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luteinising</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hormone</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pulse</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generator</w:t>
      </w:r>
      <w:proofErr w:type="spellEnd"/>
      <w:r w:rsidR="0030519F" w:rsidRPr="00FA03F9">
        <w:rPr>
          <w:rFonts w:ascii="Times New Roman" w:hAnsi="Times New Roman"/>
          <w:i/>
          <w:sz w:val="22"/>
          <w:szCs w:val="22"/>
          <w:lang w:val="hu-HU"/>
        </w:rPr>
        <w:t xml:space="preserve">: a </w:t>
      </w:r>
      <w:proofErr w:type="spellStart"/>
      <w:r w:rsidR="0030519F" w:rsidRPr="00FA03F9">
        <w:rPr>
          <w:rFonts w:ascii="Times New Roman" w:hAnsi="Times New Roman"/>
          <w:i/>
          <w:sz w:val="22"/>
          <w:szCs w:val="22"/>
          <w:lang w:val="hu-HU"/>
        </w:rPr>
        <w:t>novel</w:t>
      </w:r>
      <w:proofErr w:type="spellEnd"/>
      <w:r w:rsidR="0030519F" w:rsidRPr="00FA03F9">
        <w:rPr>
          <w:rFonts w:ascii="Times New Roman" w:hAnsi="Times New Roman"/>
          <w:i/>
          <w:sz w:val="22"/>
          <w:szCs w:val="22"/>
          <w:lang w:val="hu-HU"/>
        </w:rPr>
        <w:t xml:space="preserve"> </w:t>
      </w:r>
      <w:proofErr w:type="spellStart"/>
      <w:r w:rsidR="0030519F" w:rsidRPr="00FA03F9">
        <w:rPr>
          <w:rFonts w:ascii="Times New Roman" w:hAnsi="Times New Roman"/>
          <w:i/>
          <w:sz w:val="22"/>
          <w:szCs w:val="22"/>
          <w:lang w:val="hu-HU"/>
        </w:rPr>
        <w:t>approach</w:t>
      </w:r>
      <w:proofErr w:type="spellEnd"/>
      <w:r w:rsidR="0030519F" w:rsidRPr="00FA03F9">
        <w:rPr>
          <w:rFonts w:ascii="Times New Roman" w:hAnsi="Times New Roman"/>
          <w:i/>
          <w:sz w:val="22"/>
          <w:szCs w:val="22"/>
          <w:lang w:val="hu-HU"/>
        </w:rPr>
        <w:t>”</w:t>
      </w:r>
      <w:r w:rsidR="0030519F" w:rsidRPr="00FA03F9">
        <w:rPr>
          <w:rFonts w:ascii="Times New Roman" w:hAnsi="Times New Roman"/>
          <w:sz w:val="22"/>
          <w:szCs w:val="22"/>
          <w:lang w:val="hu-HU"/>
        </w:rPr>
        <w:t xml:space="preserve"> The </w:t>
      </w:r>
      <w:proofErr w:type="spellStart"/>
      <w:r w:rsidR="0030519F" w:rsidRPr="00FA03F9">
        <w:rPr>
          <w:rFonts w:ascii="Times New Roman" w:hAnsi="Times New Roman"/>
          <w:sz w:val="22"/>
          <w:szCs w:val="22"/>
          <w:lang w:val="hu-HU"/>
        </w:rPr>
        <w:t>Wellcome</w:t>
      </w:r>
      <w:proofErr w:type="spellEnd"/>
      <w:r w:rsidR="0030519F" w:rsidRPr="00FA03F9">
        <w:rPr>
          <w:rFonts w:ascii="Times New Roman" w:hAnsi="Times New Roman"/>
          <w:sz w:val="22"/>
          <w:szCs w:val="22"/>
          <w:lang w:val="hu-HU"/>
        </w:rPr>
        <w:t xml:space="preserve"> </w:t>
      </w:r>
      <w:proofErr w:type="spellStart"/>
      <w:r w:rsidR="0030519F" w:rsidRPr="00FA03F9">
        <w:rPr>
          <w:rFonts w:ascii="Times New Roman" w:hAnsi="Times New Roman"/>
          <w:sz w:val="22"/>
          <w:szCs w:val="22"/>
          <w:lang w:val="hu-HU"/>
        </w:rPr>
        <w:t>Trust</w:t>
      </w:r>
      <w:proofErr w:type="spellEnd"/>
      <w:r w:rsidR="0030519F" w:rsidRPr="00FA03F9">
        <w:rPr>
          <w:rFonts w:ascii="Times New Roman" w:hAnsi="Times New Roman"/>
          <w:sz w:val="22"/>
          <w:szCs w:val="22"/>
          <w:lang w:val="hu-HU"/>
        </w:rPr>
        <w:t>, társpályázó</w:t>
      </w:r>
    </w:p>
    <w:p w14:paraId="5CE907C1" w14:textId="77777777" w:rsidR="0030519F" w:rsidRPr="00FA03F9" w:rsidRDefault="0030519F" w:rsidP="0030519F">
      <w:pPr>
        <w:jc w:val="both"/>
        <w:rPr>
          <w:rFonts w:ascii="Times New Roman" w:hAnsi="Times New Roman"/>
          <w:sz w:val="22"/>
          <w:szCs w:val="22"/>
          <w:lang w:val="hu-HU"/>
        </w:rPr>
      </w:pPr>
      <w:r w:rsidRPr="00FA03F9">
        <w:rPr>
          <w:rFonts w:ascii="Times New Roman" w:hAnsi="Times New Roman"/>
          <w:sz w:val="22"/>
          <w:szCs w:val="22"/>
          <w:lang w:val="hu-HU"/>
        </w:rPr>
        <w:t>2001-2004</w:t>
      </w:r>
      <w:r w:rsidRPr="00FA03F9">
        <w:rPr>
          <w:rFonts w:ascii="Times New Roman" w:hAnsi="Times New Roman"/>
          <w:sz w:val="22"/>
          <w:szCs w:val="22"/>
          <w:lang w:val="hu-HU"/>
        </w:rPr>
        <w:tab/>
      </w:r>
      <w:r w:rsidRPr="00FA03F9">
        <w:rPr>
          <w:rFonts w:ascii="Times New Roman" w:hAnsi="Times New Roman"/>
          <w:sz w:val="22"/>
          <w:szCs w:val="22"/>
          <w:lang w:val="hu-HU"/>
        </w:rPr>
        <w:tab/>
        <w:t>Bolyai János Ösztöndíj, Magyar Tudományos Akadémia</w:t>
      </w:r>
    </w:p>
    <w:p w14:paraId="6E30E0B0" w14:textId="1CCBB280" w:rsidR="0030519F" w:rsidRPr="00FA03F9" w:rsidRDefault="0030519F" w:rsidP="0030519F">
      <w:pPr>
        <w:ind w:left="2127" w:hanging="2127"/>
        <w:jc w:val="both"/>
        <w:rPr>
          <w:rStyle w:val="Hiperhivatkozs"/>
          <w:rFonts w:ascii="Times New Roman" w:hAnsi="Times New Roman"/>
          <w:color w:val="000000" w:themeColor="text1"/>
          <w:sz w:val="22"/>
          <w:szCs w:val="22"/>
          <w:u w:val="none"/>
          <w:lang w:val="hu-HU"/>
        </w:rPr>
      </w:pPr>
      <w:r w:rsidRPr="00FA03F9">
        <w:rPr>
          <w:rStyle w:val="Hiperhivatkozs"/>
          <w:rFonts w:ascii="Times New Roman" w:hAnsi="Times New Roman"/>
          <w:color w:val="000000" w:themeColor="text1"/>
          <w:sz w:val="22"/>
          <w:szCs w:val="22"/>
          <w:u w:val="none"/>
          <w:lang w:val="hu-HU"/>
        </w:rPr>
        <w:t xml:space="preserve">2012-2016 </w:t>
      </w:r>
      <w:r w:rsidRPr="00FA03F9">
        <w:rPr>
          <w:rStyle w:val="Hiperhivatkozs"/>
          <w:rFonts w:ascii="Times New Roman" w:hAnsi="Times New Roman"/>
          <w:color w:val="000000" w:themeColor="text1"/>
          <w:sz w:val="22"/>
          <w:szCs w:val="22"/>
          <w:u w:val="none"/>
          <w:lang w:val="hu-HU"/>
        </w:rPr>
        <w:tab/>
        <w:t>„</w:t>
      </w:r>
      <w:r w:rsidRPr="00FA03F9">
        <w:rPr>
          <w:rStyle w:val="Hiperhivatkozs"/>
          <w:rFonts w:ascii="Times New Roman" w:hAnsi="Times New Roman"/>
          <w:i/>
          <w:color w:val="000000" w:themeColor="text1"/>
          <w:sz w:val="22"/>
          <w:szCs w:val="22"/>
          <w:u w:val="none"/>
          <w:lang w:val="hu-HU"/>
        </w:rPr>
        <w:t>RF-amide peptid-szignalizáció a szaporodás és az anyagcsere hypothalamikus szabályozásának integrációjában</w:t>
      </w:r>
      <w:r w:rsidRPr="00FA03F9">
        <w:rPr>
          <w:rStyle w:val="Hiperhivatkozs"/>
          <w:rFonts w:ascii="Times New Roman" w:hAnsi="Times New Roman"/>
          <w:color w:val="000000" w:themeColor="text1"/>
          <w:sz w:val="22"/>
          <w:szCs w:val="22"/>
          <w:u w:val="none"/>
          <w:lang w:val="hu-HU"/>
        </w:rPr>
        <w:t>”, OTKA K</w:t>
      </w:r>
      <w:r w:rsidR="00A56D3F" w:rsidRPr="00FA03F9">
        <w:rPr>
          <w:rStyle w:val="Hiperhivatkozs"/>
          <w:rFonts w:ascii="Times New Roman" w:hAnsi="Times New Roman"/>
          <w:color w:val="000000" w:themeColor="text1"/>
          <w:sz w:val="22"/>
          <w:szCs w:val="22"/>
          <w:u w:val="none"/>
          <w:lang w:val="hu-HU"/>
        </w:rPr>
        <w:t>_</w:t>
      </w:r>
      <w:r w:rsidRPr="00FA03F9">
        <w:rPr>
          <w:rStyle w:val="Hiperhivatkozs"/>
          <w:rFonts w:ascii="Times New Roman" w:hAnsi="Times New Roman"/>
          <w:color w:val="000000" w:themeColor="text1"/>
          <w:sz w:val="22"/>
          <w:szCs w:val="22"/>
          <w:u w:val="none"/>
          <w:lang w:val="hu-HU"/>
        </w:rPr>
        <w:t>101326, vezető kutató</w:t>
      </w:r>
    </w:p>
    <w:p w14:paraId="62C379EE" w14:textId="77777777" w:rsidR="00A56D3F" w:rsidRPr="00FA03F9" w:rsidRDefault="000A60E2" w:rsidP="00A56D3F">
      <w:pPr>
        <w:pStyle w:val="Cmsor1"/>
        <w:ind w:left="2127" w:hanging="2127"/>
        <w:rPr>
          <w:b w:val="0"/>
          <w:iCs/>
          <w:szCs w:val="22"/>
          <w:lang w:val="hu-HU"/>
        </w:rPr>
      </w:pPr>
      <w:r w:rsidRPr="00FA03F9">
        <w:rPr>
          <w:b w:val="0"/>
          <w:bCs/>
          <w:szCs w:val="22"/>
          <w:lang w:val="hu-HU"/>
        </w:rPr>
        <w:t>2018-2022</w:t>
      </w:r>
      <w:r w:rsidRPr="00FA03F9">
        <w:rPr>
          <w:b w:val="0"/>
          <w:bCs/>
          <w:szCs w:val="22"/>
          <w:lang w:val="hu-HU"/>
        </w:rPr>
        <w:tab/>
        <w:t>“</w:t>
      </w:r>
      <w:r w:rsidRPr="00FA03F9">
        <w:rPr>
          <w:b w:val="0"/>
          <w:i/>
          <w:szCs w:val="22"/>
          <w:lang w:val="hu-HU"/>
        </w:rPr>
        <w:t xml:space="preserve">Glycinergic input to basal </w:t>
      </w:r>
      <w:proofErr w:type="spellStart"/>
      <w:r w:rsidRPr="00FA03F9">
        <w:rPr>
          <w:b w:val="0"/>
          <w:i/>
          <w:szCs w:val="22"/>
          <w:lang w:val="hu-HU"/>
        </w:rPr>
        <w:t>forebrain</w:t>
      </w:r>
      <w:proofErr w:type="spellEnd"/>
      <w:r w:rsidRPr="00FA03F9">
        <w:rPr>
          <w:b w:val="0"/>
          <w:i/>
          <w:szCs w:val="22"/>
          <w:lang w:val="hu-HU"/>
        </w:rPr>
        <w:t xml:space="preserve"> </w:t>
      </w:r>
      <w:proofErr w:type="spellStart"/>
      <w:r w:rsidRPr="00FA03F9">
        <w:rPr>
          <w:b w:val="0"/>
          <w:i/>
          <w:szCs w:val="22"/>
          <w:lang w:val="hu-HU"/>
        </w:rPr>
        <w:t>neurons</w:t>
      </w:r>
      <w:proofErr w:type="spellEnd"/>
      <w:r w:rsidRPr="00FA03F9">
        <w:rPr>
          <w:b w:val="0"/>
          <w:i/>
          <w:szCs w:val="22"/>
          <w:lang w:val="hu-HU"/>
        </w:rPr>
        <w:t xml:space="preserve">; a </w:t>
      </w:r>
      <w:proofErr w:type="spellStart"/>
      <w:r w:rsidRPr="00FA03F9">
        <w:rPr>
          <w:b w:val="0"/>
          <w:i/>
          <w:szCs w:val="22"/>
          <w:lang w:val="hu-HU"/>
        </w:rPr>
        <w:t>potentially</w:t>
      </w:r>
      <w:proofErr w:type="spellEnd"/>
      <w:r w:rsidRPr="00FA03F9">
        <w:rPr>
          <w:b w:val="0"/>
          <w:i/>
          <w:szCs w:val="22"/>
          <w:lang w:val="hu-HU"/>
        </w:rPr>
        <w:t xml:space="preserve"> Janus-</w:t>
      </w:r>
      <w:proofErr w:type="spellStart"/>
      <w:r w:rsidRPr="00FA03F9">
        <w:rPr>
          <w:b w:val="0"/>
          <w:i/>
          <w:szCs w:val="22"/>
          <w:lang w:val="hu-HU"/>
        </w:rPr>
        <w:t>faced</w:t>
      </w:r>
      <w:proofErr w:type="spellEnd"/>
      <w:r w:rsidRPr="00FA03F9">
        <w:rPr>
          <w:b w:val="0"/>
          <w:i/>
          <w:szCs w:val="22"/>
          <w:lang w:val="hu-HU"/>
        </w:rPr>
        <w:t xml:space="preserve"> </w:t>
      </w:r>
      <w:proofErr w:type="spellStart"/>
      <w:r w:rsidRPr="00FA03F9">
        <w:rPr>
          <w:b w:val="0"/>
          <w:i/>
          <w:szCs w:val="22"/>
          <w:lang w:val="hu-HU"/>
        </w:rPr>
        <w:t>component</w:t>
      </w:r>
      <w:proofErr w:type="spellEnd"/>
      <w:r w:rsidRPr="00FA03F9">
        <w:rPr>
          <w:b w:val="0"/>
          <w:i/>
          <w:szCs w:val="22"/>
          <w:lang w:val="hu-HU"/>
        </w:rPr>
        <w:t xml:space="preserve"> of </w:t>
      </w:r>
      <w:proofErr w:type="spellStart"/>
      <w:r w:rsidRPr="00FA03F9">
        <w:rPr>
          <w:b w:val="0"/>
          <w:i/>
          <w:szCs w:val="22"/>
          <w:lang w:val="hu-HU"/>
        </w:rPr>
        <w:t>the</w:t>
      </w:r>
      <w:proofErr w:type="spellEnd"/>
      <w:r w:rsidRPr="00FA03F9">
        <w:rPr>
          <w:b w:val="0"/>
          <w:i/>
          <w:szCs w:val="22"/>
          <w:lang w:val="hu-HU"/>
        </w:rPr>
        <w:t xml:space="preserve"> </w:t>
      </w:r>
      <w:proofErr w:type="spellStart"/>
      <w:r w:rsidRPr="00FA03F9">
        <w:rPr>
          <w:b w:val="0"/>
          <w:i/>
          <w:szCs w:val="22"/>
          <w:lang w:val="hu-HU"/>
        </w:rPr>
        <w:t>neuronal</w:t>
      </w:r>
      <w:proofErr w:type="spellEnd"/>
      <w:r w:rsidRPr="00FA03F9">
        <w:rPr>
          <w:b w:val="0"/>
          <w:i/>
          <w:szCs w:val="22"/>
          <w:lang w:val="hu-HU"/>
        </w:rPr>
        <w:t xml:space="preserve"> </w:t>
      </w:r>
      <w:proofErr w:type="spellStart"/>
      <w:r w:rsidRPr="00FA03F9">
        <w:rPr>
          <w:b w:val="0"/>
          <w:i/>
          <w:szCs w:val="22"/>
          <w:lang w:val="hu-HU"/>
        </w:rPr>
        <w:t>circuitry</w:t>
      </w:r>
      <w:proofErr w:type="spellEnd"/>
      <w:r w:rsidRPr="00FA03F9">
        <w:rPr>
          <w:b w:val="0"/>
          <w:i/>
          <w:szCs w:val="22"/>
          <w:lang w:val="hu-HU"/>
        </w:rPr>
        <w:t xml:space="preserve">”, </w:t>
      </w:r>
      <w:r w:rsidRPr="00FA03F9">
        <w:rPr>
          <w:b w:val="0"/>
          <w:iCs/>
          <w:szCs w:val="22"/>
          <w:lang w:val="hu-HU"/>
        </w:rPr>
        <w:t>OTKA K_18-129142, vezető kutató</w:t>
      </w:r>
    </w:p>
    <w:p w14:paraId="70246204" w14:textId="77777777" w:rsidR="00A56D3F" w:rsidRPr="00FA03F9" w:rsidRDefault="00A56D3F" w:rsidP="00A56D3F">
      <w:pPr>
        <w:pStyle w:val="Cmsor1"/>
        <w:ind w:left="2127" w:hanging="2127"/>
        <w:rPr>
          <w:b w:val="0"/>
          <w:bCs/>
          <w:iCs/>
          <w:szCs w:val="22"/>
          <w:lang w:val="hu-HU"/>
        </w:rPr>
      </w:pPr>
      <w:r w:rsidRPr="00FA03F9">
        <w:rPr>
          <w:b w:val="0"/>
          <w:iCs/>
          <w:szCs w:val="22"/>
          <w:lang w:val="hu-HU"/>
        </w:rPr>
        <w:t>2022-2026</w:t>
      </w:r>
      <w:r w:rsidRPr="00FA03F9">
        <w:rPr>
          <w:b w:val="0"/>
          <w:iCs/>
          <w:szCs w:val="22"/>
          <w:lang w:val="hu-HU"/>
        </w:rPr>
        <w:tab/>
        <w:t>“</w:t>
      </w:r>
      <w:r w:rsidRPr="00FA03F9">
        <w:rPr>
          <w:b w:val="0"/>
          <w:i/>
          <w:szCs w:val="22"/>
          <w:lang w:val="hu-HU"/>
        </w:rPr>
        <w:t xml:space="preserve">A reprodukciót vezérlő hypothalamikus idegsejtcsoportok prokineticin 2 általi szabályozása nőstény egérben”, </w:t>
      </w:r>
      <w:r w:rsidRPr="00FA03F9">
        <w:rPr>
          <w:b w:val="0"/>
          <w:iCs/>
          <w:szCs w:val="22"/>
          <w:lang w:val="hu-HU"/>
        </w:rPr>
        <w:t>OTKA K_142357</w:t>
      </w:r>
      <w:r w:rsidRPr="00FA03F9">
        <w:rPr>
          <w:iCs/>
          <w:szCs w:val="22"/>
          <w:lang w:val="hu-HU"/>
        </w:rPr>
        <w:t xml:space="preserve">, </w:t>
      </w:r>
      <w:r w:rsidRPr="00FA03F9">
        <w:rPr>
          <w:b w:val="0"/>
          <w:bCs/>
          <w:iCs/>
          <w:szCs w:val="22"/>
          <w:lang w:val="hu-HU"/>
        </w:rPr>
        <w:t>résztvevő</w:t>
      </w:r>
    </w:p>
    <w:p w14:paraId="11604A22" w14:textId="3950C27E" w:rsidR="004D5F2C" w:rsidRPr="00A56D3F" w:rsidRDefault="00A56D3F" w:rsidP="00A56D3F">
      <w:pPr>
        <w:pStyle w:val="Cmsor1"/>
        <w:ind w:left="2127" w:hanging="2127"/>
        <w:rPr>
          <w:b w:val="0"/>
          <w:i/>
          <w:szCs w:val="22"/>
        </w:rPr>
      </w:pPr>
      <w:r w:rsidRPr="00FA03F9">
        <w:rPr>
          <w:b w:val="0"/>
          <w:bCs/>
          <w:iCs/>
          <w:szCs w:val="22"/>
          <w:lang w:val="hu-HU"/>
        </w:rPr>
        <w:t>2023-2027</w:t>
      </w:r>
      <w:r w:rsidRPr="00FA03F9">
        <w:rPr>
          <w:b w:val="0"/>
          <w:bCs/>
          <w:iCs/>
          <w:szCs w:val="22"/>
          <w:lang w:val="hu-HU"/>
        </w:rPr>
        <w:tab/>
      </w:r>
      <w:r w:rsidRPr="00FA03F9">
        <w:rPr>
          <w:b w:val="0"/>
          <w:bCs/>
          <w:iCs/>
          <w:szCs w:val="22"/>
          <w:lang w:val="hu-HU"/>
        </w:rPr>
        <w:tab/>
        <w:t>“</w:t>
      </w:r>
      <w:r w:rsidRPr="00FA03F9">
        <w:rPr>
          <w:b w:val="0"/>
          <w:i/>
          <w:szCs w:val="22"/>
          <w:lang w:val="hu-HU"/>
        </w:rPr>
        <w:t xml:space="preserve">A </w:t>
      </w:r>
      <w:proofErr w:type="spellStart"/>
      <w:r w:rsidRPr="00FA03F9">
        <w:rPr>
          <w:b w:val="0"/>
          <w:i/>
          <w:szCs w:val="22"/>
          <w:lang w:val="hu-HU"/>
        </w:rPr>
        <w:t>mesencephalicus</w:t>
      </w:r>
      <w:proofErr w:type="spellEnd"/>
      <w:r w:rsidRPr="00FA03F9">
        <w:rPr>
          <w:b w:val="0"/>
          <w:i/>
          <w:szCs w:val="22"/>
          <w:lang w:val="hu-HU"/>
        </w:rPr>
        <w:t xml:space="preserve"> </w:t>
      </w:r>
      <w:proofErr w:type="spellStart"/>
      <w:r w:rsidRPr="00FA03F9">
        <w:rPr>
          <w:b w:val="0"/>
          <w:i/>
          <w:szCs w:val="22"/>
          <w:lang w:val="hu-HU"/>
        </w:rPr>
        <w:t>locomotor</w:t>
      </w:r>
      <w:proofErr w:type="spellEnd"/>
      <w:r w:rsidRPr="00FA03F9">
        <w:rPr>
          <w:b w:val="0"/>
          <w:i/>
          <w:szCs w:val="22"/>
          <w:lang w:val="hu-HU"/>
        </w:rPr>
        <w:t xml:space="preserve"> rendszeri kóros </w:t>
      </w:r>
      <w:proofErr w:type="spellStart"/>
      <w:r w:rsidRPr="00FA03F9">
        <w:rPr>
          <w:b w:val="0"/>
          <w:i/>
          <w:szCs w:val="22"/>
          <w:lang w:val="hu-HU"/>
        </w:rPr>
        <w:t>asztrocita</w:t>
      </w:r>
      <w:proofErr w:type="spellEnd"/>
      <w:r w:rsidRPr="00FA03F9">
        <w:rPr>
          <w:b w:val="0"/>
          <w:i/>
          <w:szCs w:val="22"/>
          <w:lang w:val="hu-HU"/>
        </w:rPr>
        <w:t xml:space="preserve"> aktiváció következményei”, </w:t>
      </w:r>
      <w:r w:rsidRPr="00FA03F9">
        <w:rPr>
          <w:b w:val="0"/>
          <w:iCs/>
          <w:szCs w:val="22"/>
          <w:lang w:val="hu-HU"/>
        </w:rPr>
        <w:t>OTKA K_146873</w:t>
      </w:r>
      <w:r w:rsidR="00FA03F9" w:rsidRPr="00FA03F9">
        <w:rPr>
          <w:b w:val="0"/>
          <w:iCs/>
          <w:szCs w:val="22"/>
          <w:lang w:val="hu-HU"/>
        </w:rPr>
        <w:t>, résztvevő</w:t>
      </w:r>
      <w:r w:rsidR="004D5F2C" w:rsidRPr="000A60E2">
        <w:rPr>
          <w:i/>
          <w:szCs w:val="22"/>
        </w:rPr>
        <w:br w:type="page"/>
      </w:r>
    </w:p>
    <w:p w14:paraId="3FBD1603" w14:textId="531CC28C" w:rsidR="00050183" w:rsidRDefault="00702C3C">
      <w:pPr>
        <w:pStyle w:val="Cmsor1"/>
        <w:rPr>
          <w:sz w:val="20"/>
        </w:rPr>
      </w:pPr>
      <w:r w:rsidRPr="008C6EC6">
        <w:rPr>
          <w:sz w:val="20"/>
        </w:rPr>
        <w:lastRenderedPageBreak/>
        <w:t>SELECTED PUBLICATIONS</w:t>
      </w:r>
    </w:p>
    <w:p w14:paraId="21E15542" w14:textId="77777777" w:rsidR="005964D7" w:rsidRPr="005964D7" w:rsidRDefault="005964D7" w:rsidP="005964D7"/>
    <w:p w14:paraId="5C754352" w14:textId="6F05DD52" w:rsidR="005964D7" w:rsidRPr="005964D7" w:rsidRDefault="005964D7" w:rsidP="005964D7">
      <w:pPr>
        <w:pStyle w:val="Listaszerbekezds"/>
        <w:numPr>
          <w:ilvl w:val="0"/>
          <w:numId w:val="21"/>
        </w:numPr>
        <w:jc w:val="both"/>
        <w:rPr>
          <w:color w:val="auto"/>
          <w:sz w:val="20"/>
          <w:szCs w:val="20"/>
        </w:rPr>
      </w:pPr>
      <w:r w:rsidRPr="005964D7">
        <w:rPr>
          <w:b/>
          <w:color w:val="auto"/>
          <w:sz w:val="20"/>
          <w:szCs w:val="20"/>
        </w:rPr>
        <w:t xml:space="preserve">Kalló, I., </w:t>
      </w:r>
      <w:r w:rsidRPr="005964D7">
        <w:rPr>
          <w:color w:val="auto"/>
          <w:sz w:val="20"/>
          <w:szCs w:val="20"/>
        </w:rPr>
        <w:t xml:space="preserve">Butler, J.A., </w:t>
      </w:r>
      <w:proofErr w:type="spellStart"/>
      <w:r w:rsidRPr="005964D7">
        <w:rPr>
          <w:color w:val="auto"/>
          <w:sz w:val="20"/>
          <w:szCs w:val="20"/>
        </w:rPr>
        <w:t>Barkovics-Kalló</w:t>
      </w:r>
      <w:proofErr w:type="spellEnd"/>
      <w:r w:rsidRPr="005964D7">
        <w:rPr>
          <w:color w:val="auto"/>
          <w:sz w:val="20"/>
          <w:szCs w:val="20"/>
        </w:rPr>
        <w:t xml:space="preserve">, M., </w:t>
      </w:r>
      <w:proofErr w:type="spellStart"/>
      <w:r w:rsidRPr="005964D7">
        <w:rPr>
          <w:color w:val="auto"/>
          <w:sz w:val="20"/>
          <w:szCs w:val="20"/>
        </w:rPr>
        <w:t>Goubillon</w:t>
      </w:r>
      <w:proofErr w:type="spellEnd"/>
      <w:r w:rsidRPr="005964D7">
        <w:rPr>
          <w:color w:val="auto"/>
          <w:sz w:val="20"/>
          <w:szCs w:val="20"/>
        </w:rPr>
        <w:t xml:space="preserve"> M-L. and Coen, C. W. (2001) Oestrogen receptor </w:t>
      </w:r>
      <w:r w:rsidRPr="005964D7">
        <w:rPr>
          <w:color w:val="auto"/>
          <w:sz w:val="20"/>
          <w:szCs w:val="20"/>
        </w:rPr>
        <w:sym w:font="Symbol" w:char="F062"/>
      </w:r>
      <w:r w:rsidRPr="005964D7">
        <w:rPr>
          <w:color w:val="auto"/>
          <w:sz w:val="20"/>
          <w:szCs w:val="20"/>
        </w:rPr>
        <w:t xml:space="preserve">-immunoreactivity in gonadotrophin-releasing hormone-expressing neurones: regulation by oestrogen. </w:t>
      </w:r>
      <w:r w:rsidRPr="005964D7">
        <w:rPr>
          <w:b/>
          <w:i/>
          <w:color w:val="auto"/>
          <w:sz w:val="20"/>
          <w:szCs w:val="20"/>
        </w:rPr>
        <w:t>Journal of Neuroendocrinology</w:t>
      </w:r>
      <w:r w:rsidRPr="005964D7">
        <w:rPr>
          <w:color w:val="auto"/>
          <w:sz w:val="20"/>
          <w:szCs w:val="20"/>
        </w:rPr>
        <w:t>: 13:1-9</w:t>
      </w:r>
    </w:p>
    <w:p w14:paraId="1177FCF2" w14:textId="7607E7AF" w:rsidR="005964D7" w:rsidRDefault="005964D7" w:rsidP="005964D7">
      <w:pPr>
        <w:pStyle w:val="Listaszerbekezds"/>
        <w:numPr>
          <w:ilvl w:val="0"/>
          <w:numId w:val="21"/>
        </w:numPr>
        <w:jc w:val="both"/>
        <w:rPr>
          <w:color w:val="auto"/>
          <w:sz w:val="20"/>
          <w:szCs w:val="20"/>
        </w:rPr>
      </w:pPr>
      <w:r w:rsidRPr="005964D7">
        <w:rPr>
          <w:b/>
          <w:bCs/>
          <w:color w:val="auto"/>
          <w:sz w:val="20"/>
          <w:szCs w:val="20"/>
          <w:lang w:val="hu-HU"/>
        </w:rPr>
        <w:t>Kalló</w:t>
      </w:r>
      <w:r w:rsidRPr="005964D7">
        <w:rPr>
          <w:color w:val="auto"/>
          <w:sz w:val="20"/>
          <w:szCs w:val="20"/>
          <w:lang w:val="hu-HU"/>
        </w:rPr>
        <w:t xml:space="preserve">, </w:t>
      </w:r>
      <w:r w:rsidRPr="005964D7">
        <w:rPr>
          <w:b/>
          <w:bCs/>
          <w:color w:val="auto"/>
          <w:sz w:val="20"/>
          <w:szCs w:val="20"/>
          <w:lang w:val="hu-HU"/>
        </w:rPr>
        <w:t>I.,</w:t>
      </w:r>
      <w:r w:rsidRPr="005964D7">
        <w:rPr>
          <w:color w:val="auto"/>
          <w:sz w:val="20"/>
          <w:szCs w:val="20"/>
          <w:lang w:val="hu-HU"/>
        </w:rPr>
        <w:t xml:space="preserve"> </w:t>
      </w:r>
      <w:r w:rsidRPr="005964D7">
        <w:rPr>
          <w:color w:val="auto"/>
          <w:sz w:val="20"/>
          <w:szCs w:val="20"/>
        </w:rPr>
        <w:t xml:space="preserve">Kalamatianos, T., Wiltshire, N., Shen, S., Sheward, J.W., Harmar, A.J. and Coen, C.W. (2004) Transgenic approach reveals expression of the VPAC2 receptor in phenotypically defined neurons in the mouse suprachiasmatic nucleus and in its efferent target sites </w:t>
      </w:r>
      <w:r w:rsidRPr="005964D7">
        <w:rPr>
          <w:b/>
          <w:i/>
          <w:color w:val="auto"/>
          <w:sz w:val="20"/>
          <w:szCs w:val="20"/>
        </w:rPr>
        <w:t xml:space="preserve">European Journal of Neuroscience </w:t>
      </w:r>
      <w:r w:rsidRPr="005964D7">
        <w:rPr>
          <w:color w:val="auto"/>
          <w:sz w:val="20"/>
          <w:szCs w:val="20"/>
        </w:rPr>
        <w:t>19:2201-2211</w:t>
      </w:r>
    </w:p>
    <w:p w14:paraId="62FC2D36" w14:textId="77777777" w:rsidR="005964D7" w:rsidRPr="005964D7" w:rsidRDefault="005964D7" w:rsidP="005964D7">
      <w:pPr>
        <w:pStyle w:val="Listaszerbekezds"/>
        <w:widowControl w:val="0"/>
        <w:numPr>
          <w:ilvl w:val="0"/>
          <w:numId w:val="21"/>
        </w:numPr>
        <w:spacing w:line="240" w:lineRule="atLeast"/>
        <w:jc w:val="both"/>
        <w:rPr>
          <w:color w:val="auto"/>
          <w:sz w:val="20"/>
          <w:szCs w:val="20"/>
          <w:lang w:val="hu-HU"/>
        </w:rPr>
      </w:pPr>
      <w:r w:rsidRPr="005964D7">
        <w:rPr>
          <w:color w:val="auto"/>
          <w:sz w:val="20"/>
          <w:szCs w:val="20"/>
          <w:lang w:val="hu-HU"/>
        </w:rPr>
        <w:t xml:space="preserve">Joy S, Siow RC, Rowlands DJ, Becker M, Wyatt AW, Aaronson PI, Coen C, Jacob R, </w:t>
      </w:r>
      <w:r w:rsidRPr="005964D7">
        <w:rPr>
          <w:b/>
          <w:bCs/>
          <w:color w:val="auto"/>
          <w:sz w:val="20"/>
          <w:szCs w:val="20"/>
          <w:lang w:val="hu-HU"/>
        </w:rPr>
        <w:t>Kallo I</w:t>
      </w:r>
      <w:r w:rsidRPr="005964D7">
        <w:rPr>
          <w:color w:val="auto"/>
          <w:sz w:val="20"/>
          <w:szCs w:val="20"/>
          <w:lang w:val="hu-HU"/>
        </w:rPr>
        <w:t xml:space="preserve">, Mann GE (2006) The </w:t>
      </w:r>
      <w:proofErr w:type="spellStart"/>
      <w:r w:rsidRPr="005964D7">
        <w:rPr>
          <w:color w:val="auto"/>
          <w:sz w:val="20"/>
          <w:szCs w:val="20"/>
          <w:lang w:val="hu-HU"/>
        </w:rPr>
        <w:t>isoflavone</w:t>
      </w:r>
      <w:proofErr w:type="spellEnd"/>
      <w:r w:rsidRPr="005964D7">
        <w:rPr>
          <w:color w:val="auto"/>
          <w:sz w:val="20"/>
          <w:szCs w:val="20"/>
          <w:lang w:val="hu-HU"/>
        </w:rPr>
        <w:t xml:space="preserve"> </w:t>
      </w:r>
      <w:proofErr w:type="spellStart"/>
      <w:r w:rsidRPr="005964D7">
        <w:rPr>
          <w:color w:val="auto"/>
          <w:sz w:val="20"/>
          <w:szCs w:val="20"/>
          <w:lang w:val="hu-HU"/>
        </w:rPr>
        <w:t>equol</w:t>
      </w:r>
      <w:proofErr w:type="spellEnd"/>
      <w:r w:rsidRPr="005964D7">
        <w:rPr>
          <w:color w:val="auto"/>
          <w:sz w:val="20"/>
          <w:szCs w:val="20"/>
          <w:lang w:val="hu-HU"/>
        </w:rPr>
        <w:t xml:space="preserve"> </w:t>
      </w:r>
      <w:proofErr w:type="spellStart"/>
      <w:r w:rsidRPr="005964D7">
        <w:rPr>
          <w:color w:val="auto"/>
          <w:sz w:val="20"/>
          <w:szCs w:val="20"/>
          <w:lang w:val="hu-HU"/>
        </w:rPr>
        <w:t>mediates</w:t>
      </w:r>
      <w:proofErr w:type="spellEnd"/>
      <w:r w:rsidRPr="005964D7">
        <w:rPr>
          <w:color w:val="auto"/>
          <w:sz w:val="20"/>
          <w:szCs w:val="20"/>
          <w:lang w:val="hu-HU"/>
        </w:rPr>
        <w:t xml:space="preserve"> rapid </w:t>
      </w:r>
      <w:proofErr w:type="spellStart"/>
      <w:r w:rsidRPr="005964D7">
        <w:rPr>
          <w:color w:val="auto"/>
          <w:sz w:val="20"/>
          <w:szCs w:val="20"/>
          <w:lang w:val="hu-HU"/>
        </w:rPr>
        <w:t>vascular</w:t>
      </w:r>
      <w:proofErr w:type="spellEnd"/>
      <w:r w:rsidRPr="005964D7">
        <w:rPr>
          <w:color w:val="auto"/>
          <w:sz w:val="20"/>
          <w:szCs w:val="20"/>
          <w:lang w:val="hu-HU"/>
        </w:rPr>
        <w:t xml:space="preserve"> </w:t>
      </w:r>
      <w:proofErr w:type="spellStart"/>
      <w:r w:rsidRPr="005964D7">
        <w:rPr>
          <w:color w:val="auto"/>
          <w:sz w:val="20"/>
          <w:szCs w:val="20"/>
          <w:lang w:val="hu-HU"/>
        </w:rPr>
        <w:t>relaxation</w:t>
      </w:r>
      <w:proofErr w:type="spellEnd"/>
      <w:r w:rsidRPr="005964D7">
        <w:rPr>
          <w:color w:val="auto"/>
          <w:sz w:val="20"/>
          <w:szCs w:val="20"/>
          <w:lang w:val="hu-HU"/>
        </w:rPr>
        <w:t>: Ca2+-</w:t>
      </w:r>
      <w:proofErr w:type="spellStart"/>
      <w:r w:rsidRPr="005964D7">
        <w:rPr>
          <w:color w:val="auto"/>
          <w:sz w:val="20"/>
          <w:szCs w:val="20"/>
          <w:lang w:val="hu-HU"/>
        </w:rPr>
        <w:t>independent</w:t>
      </w:r>
      <w:proofErr w:type="spellEnd"/>
      <w:r w:rsidRPr="005964D7">
        <w:rPr>
          <w:color w:val="auto"/>
          <w:sz w:val="20"/>
          <w:szCs w:val="20"/>
          <w:lang w:val="hu-HU"/>
        </w:rPr>
        <w:t xml:space="preserve"> </w:t>
      </w:r>
      <w:proofErr w:type="spellStart"/>
      <w:r w:rsidRPr="005964D7">
        <w:rPr>
          <w:color w:val="auto"/>
          <w:sz w:val="20"/>
          <w:szCs w:val="20"/>
          <w:lang w:val="hu-HU"/>
        </w:rPr>
        <w:t>activation</w:t>
      </w:r>
      <w:proofErr w:type="spellEnd"/>
      <w:r w:rsidRPr="005964D7">
        <w:rPr>
          <w:color w:val="auto"/>
          <w:sz w:val="20"/>
          <w:szCs w:val="20"/>
          <w:lang w:val="hu-HU"/>
        </w:rPr>
        <w:t xml:space="preserve"> of </w:t>
      </w:r>
      <w:proofErr w:type="spellStart"/>
      <w:r w:rsidRPr="005964D7">
        <w:rPr>
          <w:color w:val="auto"/>
          <w:sz w:val="20"/>
          <w:szCs w:val="20"/>
          <w:lang w:val="hu-HU"/>
        </w:rPr>
        <w:t>eNOS</w:t>
      </w:r>
      <w:proofErr w:type="spellEnd"/>
      <w:r w:rsidRPr="005964D7">
        <w:rPr>
          <w:color w:val="auto"/>
          <w:sz w:val="20"/>
          <w:szCs w:val="20"/>
          <w:lang w:val="hu-HU"/>
        </w:rPr>
        <w:t xml:space="preserve">/Hsp90 </w:t>
      </w:r>
      <w:proofErr w:type="spellStart"/>
      <w:r w:rsidRPr="005964D7">
        <w:rPr>
          <w:color w:val="auto"/>
          <w:sz w:val="20"/>
          <w:szCs w:val="20"/>
          <w:lang w:val="hu-HU"/>
        </w:rPr>
        <w:t>involving</w:t>
      </w:r>
      <w:proofErr w:type="spellEnd"/>
      <w:r w:rsidRPr="005964D7">
        <w:rPr>
          <w:color w:val="auto"/>
          <w:sz w:val="20"/>
          <w:szCs w:val="20"/>
          <w:lang w:val="hu-HU"/>
        </w:rPr>
        <w:t xml:space="preserve"> ERK1/2 and Akt phosphorylation in human endothelial cells. </w:t>
      </w:r>
      <w:r w:rsidRPr="005964D7">
        <w:rPr>
          <w:b/>
          <w:bCs/>
          <w:i/>
          <w:iCs/>
          <w:color w:val="auto"/>
          <w:sz w:val="20"/>
          <w:szCs w:val="20"/>
          <w:lang w:val="hu-HU"/>
        </w:rPr>
        <w:t>J Biol Chem</w:t>
      </w:r>
      <w:r w:rsidRPr="005964D7">
        <w:rPr>
          <w:color w:val="auto"/>
          <w:sz w:val="20"/>
          <w:szCs w:val="20"/>
          <w:lang w:val="hu-HU"/>
        </w:rPr>
        <w:t xml:space="preserve"> 281: 27335-27345 (2006)</w:t>
      </w:r>
    </w:p>
    <w:p w14:paraId="27ACD178" w14:textId="5C6A1887" w:rsidR="005964D7" w:rsidRDefault="005964D7" w:rsidP="005964D7">
      <w:pPr>
        <w:pStyle w:val="Listaszerbekezds"/>
        <w:numPr>
          <w:ilvl w:val="0"/>
          <w:numId w:val="21"/>
        </w:numPr>
        <w:jc w:val="both"/>
        <w:rPr>
          <w:color w:val="auto"/>
          <w:sz w:val="20"/>
          <w:szCs w:val="20"/>
        </w:rPr>
      </w:pPr>
      <w:r w:rsidRPr="005964D7">
        <w:rPr>
          <w:snapToGrid w:val="0"/>
          <w:color w:val="auto"/>
          <w:sz w:val="20"/>
          <w:szCs w:val="20"/>
        </w:rPr>
        <w:t xml:space="preserve">Vida, B., </w:t>
      </w:r>
      <w:r w:rsidRPr="005964D7">
        <w:rPr>
          <w:color w:val="auto"/>
          <w:sz w:val="20"/>
          <w:szCs w:val="20"/>
        </w:rPr>
        <w:t xml:space="preserve">Hrabovszky, E., Kalamatianos, T., </w:t>
      </w:r>
      <w:r w:rsidRPr="005964D7">
        <w:rPr>
          <w:snapToGrid w:val="0"/>
          <w:color w:val="auto"/>
          <w:sz w:val="20"/>
          <w:szCs w:val="20"/>
        </w:rPr>
        <w:t xml:space="preserve">Coen, C. W., Liposits, Zs. and </w:t>
      </w:r>
      <w:r w:rsidRPr="005964D7">
        <w:rPr>
          <w:b/>
          <w:color w:val="auto"/>
          <w:sz w:val="20"/>
          <w:szCs w:val="20"/>
        </w:rPr>
        <w:t>Kalló, I.</w:t>
      </w:r>
      <w:r w:rsidRPr="005964D7">
        <w:rPr>
          <w:color w:val="auto"/>
          <w:sz w:val="20"/>
          <w:szCs w:val="20"/>
        </w:rPr>
        <w:t xml:space="preserve"> </w:t>
      </w:r>
      <w:r w:rsidRPr="005964D7">
        <w:rPr>
          <w:snapToGrid w:val="0"/>
          <w:color w:val="auto"/>
          <w:sz w:val="20"/>
          <w:szCs w:val="20"/>
        </w:rPr>
        <w:t xml:space="preserve">(2008) </w:t>
      </w:r>
      <w:proofErr w:type="spellStart"/>
      <w:r w:rsidRPr="005964D7">
        <w:rPr>
          <w:color w:val="auto"/>
          <w:sz w:val="20"/>
          <w:szCs w:val="20"/>
        </w:rPr>
        <w:t>Oestrogen</w:t>
      </w:r>
      <w:proofErr w:type="spellEnd"/>
      <w:r w:rsidRPr="005964D7">
        <w:rPr>
          <w:color w:val="auto"/>
          <w:sz w:val="20"/>
          <w:szCs w:val="20"/>
        </w:rPr>
        <w:t xml:space="preserve"> receptor α and β in the </w:t>
      </w:r>
      <w:r w:rsidR="00364A1E">
        <w:rPr>
          <w:color w:val="auto"/>
          <w:sz w:val="20"/>
          <w:szCs w:val="20"/>
        </w:rPr>
        <w:t>SCN</w:t>
      </w:r>
      <w:r w:rsidRPr="005964D7">
        <w:rPr>
          <w:color w:val="auto"/>
          <w:sz w:val="20"/>
          <w:szCs w:val="20"/>
        </w:rPr>
        <w:t xml:space="preserve"> of the male and female mice. </w:t>
      </w:r>
      <w:r w:rsidRPr="005964D7">
        <w:rPr>
          <w:b/>
          <w:i/>
          <w:color w:val="auto"/>
          <w:sz w:val="20"/>
          <w:szCs w:val="20"/>
        </w:rPr>
        <w:t>Journal of</w:t>
      </w:r>
      <w:r w:rsidRPr="005964D7">
        <w:rPr>
          <w:b/>
          <w:color w:val="auto"/>
          <w:sz w:val="20"/>
          <w:szCs w:val="20"/>
        </w:rPr>
        <w:t xml:space="preserve"> </w:t>
      </w:r>
      <w:r w:rsidRPr="005964D7">
        <w:rPr>
          <w:b/>
          <w:i/>
          <w:color w:val="auto"/>
          <w:sz w:val="20"/>
          <w:szCs w:val="20"/>
        </w:rPr>
        <w:t xml:space="preserve">Neuroendocrinology </w:t>
      </w:r>
      <w:r w:rsidRPr="005964D7">
        <w:rPr>
          <w:color w:val="auto"/>
          <w:sz w:val="20"/>
          <w:szCs w:val="20"/>
        </w:rPr>
        <w:t>20:(11) 1270-1277</w:t>
      </w:r>
    </w:p>
    <w:p w14:paraId="7A1ED316" w14:textId="169EF058" w:rsidR="005964D7" w:rsidRDefault="00251D0C" w:rsidP="005964D7">
      <w:pPr>
        <w:pStyle w:val="Listaszerbekezds"/>
        <w:numPr>
          <w:ilvl w:val="0"/>
          <w:numId w:val="21"/>
        </w:numPr>
        <w:jc w:val="both"/>
        <w:rPr>
          <w:color w:val="auto"/>
          <w:sz w:val="20"/>
          <w:szCs w:val="20"/>
        </w:rPr>
      </w:pPr>
      <w:r w:rsidRPr="00251D0C">
        <w:rPr>
          <w:color w:val="auto"/>
          <w:sz w:val="20"/>
          <w:szCs w:val="20"/>
        </w:rPr>
        <w:t xml:space="preserve">Hrabovszky E, Ciofi P, Vida B, Horvath MC, Keller E, Caraty A, Bloom GR, </w:t>
      </w:r>
      <w:proofErr w:type="spellStart"/>
      <w:r w:rsidRPr="00251D0C">
        <w:rPr>
          <w:color w:val="auto"/>
          <w:sz w:val="20"/>
          <w:szCs w:val="20"/>
        </w:rPr>
        <w:t>Ghatei</w:t>
      </w:r>
      <w:proofErr w:type="spellEnd"/>
      <w:r w:rsidRPr="00251D0C">
        <w:rPr>
          <w:color w:val="auto"/>
          <w:sz w:val="20"/>
          <w:szCs w:val="20"/>
        </w:rPr>
        <w:t xml:space="preserve"> MA, </w:t>
      </w:r>
      <w:proofErr w:type="spellStart"/>
      <w:r w:rsidRPr="00251D0C">
        <w:rPr>
          <w:color w:val="auto"/>
          <w:sz w:val="20"/>
          <w:szCs w:val="20"/>
        </w:rPr>
        <w:t>Dhillo</w:t>
      </w:r>
      <w:proofErr w:type="spellEnd"/>
      <w:r w:rsidRPr="00251D0C">
        <w:rPr>
          <w:color w:val="auto"/>
          <w:sz w:val="20"/>
          <w:szCs w:val="20"/>
        </w:rPr>
        <w:t xml:space="preserve"> WS, Liposits Z, </w:t>
      </w:r>
      <w:r w:rsidRPr="00251D0C">
        <w:rPr>
          <w:b/>
          <w:bCs/>
          <w:color w:val="auto"/>
          <w:sz w:val="20"/>
          <w:szCs w:val="20"/>
        </w:rPr>
        <w:t xml:space="preserve">Kallo I </w:t>
      </w:r>
      <w:r w:rsidRPr="00251D0C">
        <w:rPr>
          <w:color w:val="auto"/>
          <w:sz w:val="20"/>
          <w:szCs w:val="20"/>
        </w:rPr>
        <w:t xml:space="preserve">(2010) The kisspeptin system of the human hypothalamus: sexual dimorphism and relationship with gonadotropin-releasing hormone and neurokinin B neurons </w:t>
      </w:r>
      <w:r w:rsidRPr="00251D0C">
        <w:rPr>
          <w:b/>
          <w:bCs/>
          <w:i/>
          <w:iCs/>
          <w:color w:val="auto"/>
          <w:sz w:val="20"/>
          <w:szCs w:val="20"/>
        </w:rPr>
        <w:t>Eur J Neurosci</w:t>
      </w:r>
      <w:r w:rsidRPr="00251D0C">
        <w:rPr>
          <w:color w:val="auto"/>
          <w:sz w:val="20"/>
          <w:szCs w:val="20"/>
        </w:rPr>
        <w:t xml:space="preserve"> 31:(11) 1984-1998</w:t>
      </w:r>
    </w:p>
    <w:p w14:paraId="5C47A9E5" w14:textId="77777777" w:rsidR="00251D0C" w:rsidRPr="00251D0C" w:rsidRDefault="00251D0C" w:rsidP="00251D0C">
      <w:pPr>
        <w:widowControl w:val="0"/>
        <w:numPr>
          <w:ilvl w:val="0"/>
          <w:numId w:val="21"/>
        </w:numPr>
        <w:spacing w:line="240" w:lineRule="atLeast"/>
        <w:jc w:val="both"/>
        <w:rPr>
          <w:sz w:val="20"/>
        </w:rPr>
      </w:pPr>
      <w:r w:rsidRPr="00251D0C">
        <w:rPr>
          <w:sz w:val="20"/>
        </w:rPr>
        <w:t xml:space="preserve">Sárvári M, Hrabovszky E, </w:t>
      </w:r>
      <w:r w:rsidRPr="00251D0C">
        <w:rPr>
          <w:b/>
          <w:sz w:val="20"/>
        </w:rPr>
        <w:t>Kalló I</w:t>
      </w:r>
      <w:r w:rsidRPr="00251D0C">
        <w:rPr>
          <w:sz w:val="20"/>
        </w:rPr>
        <w:t xml:space="preserve">, Solymosi N, Tóth K, </w:t>
      </w:r>
      <w:proofErr w:type="spellStart"/>
      <w:r w:rsidRPr="00251D0C">
        <w:rPr>
          <w:sz w:val="20"/>
        </w:rPr>
        <w:t>Likó</w:t>
      </w:r>
      <w:proofErr w:type="spellEnd"/>
      <w:r w:rsidRPr="00251D0C">
        <w:rPr>
          <w:sz w:val="20"/>
        </w:rPr>
        <w:t xml:space="preserve"> I, Széles J, Mahó S, Molnár B, Liposits Z. (2011) </w:t>
      </w:r>
      <w:proofErr w:type="spellStart"/>
      <w:r w:rsidRPr="00251D0C">
        <w:rPr>
          <w:sz w:val="20"/>
        </w:rPr>
        <w:t>Estrogens</w:t>
      </w:r>
      <w:proofErr w:type="spellEnd"/>
      <w:r w:rsidRPr="00251D0C">
        <w:rPr>
          <w:sz w:val="20"/>
        </w:rPr>
        <w:t xml:space="preserve"> regulate neuroinflammatory genes via estrogen receptors α and β in the frontal cortex of middle-aged female rats. </w:t>
      </w:r>
      <w:r w:rsidRPr="00251D0C">
        <w:rPr>
          <w:b/>
          <w:i/>
          <w:sz w:val="20"/>
        </w:rPr>
        <w:t>J Neuroinflammation</w:t>
      </w:r>
      <w:r w:rsidRPr="00251D0C">
        <w:rPr>
          <w:sz w:val="20"/>
        </w:rPr>
        <w:t>. 2011 Jul 20;8:82.</w:t>
      </w:r>
    </w:p>
    <w:p w14:paraId="703BE511" w14:textId="2EE552CF" w:rsidR="00251D0C" w:rsidRDefault="00251D0C" w:rsidP="005964D7">
      <w:pPr>
        <w:pStyle w:val="Listaszerbekezds"/>
        <w:numPr>
          <w:ilvl w:val="0"/>
          <w:numId w:val="21"/>
        </w:numPr>
        <w:jc w:val="both"/>
        <w:rPr>
          <w:color w:val="auto"/>
          <w:sz w:val="20"/>
          <w:szCs w:val="20"/>
        </w:rPr>
      </w:pPr>
      <w:r w:rsidRPr="00251D0C">
        <w:rPr>
          <w:b/>
          <w:bCs/>
          <w:color w:val="auto"/>
          <w:sz w:val="20"/>
          <w:szCs w:val="20"/>
        </w:rPr>
        <w:t>Kalló I</w:t>
      </w:r>
      <w:r w:rsidRPr="00251D0C">
        <w:rPr>
          <w:color w:val="auto"/>
          <w:sz w:val="20"/>
          <w:szCs w:val="20"/>
        </w:rPr>
        <w:t>, Vida B, Deli L, Molnár CS, Hrabovszky E, Caraty A, Ciofi P, Coen CW, Liposits Z. Co-</w:t>
      </w:r>
      <w:proofErr w:type="spellStart"/>
      <w:r w:rsidRPr="00251D0C">
        <w:rPr>
          <w:color w:val="auto"/>
          <w:sz w:val="20"/>
          <w:szCs w:val="20"/>
        </w:rPr>
        <w:t>localisation</w:t>
      </w:r>
      <w:proofErr w:type="spellEnd"/>
      <w:r w:rsidRPr="00251D0C">
        <w:rPr>
          <w:color w:val="auto"/>
          <w:sz w:val="20"/>
          <w:szCs w:val="20"/>
        </w:rPr>
        <w:t xml:space="preserve"> of kisspeptin with galanin or neurokinin B in afferents to mouse GnRH neurones. </w:t>
      </w:r>
      <w:r w:rsidRPr="00251D0C">
        <w:rPr>
          <w:b/>
          <w:bCs/>
          <w:i/>
          <w:iCs/>
          <w:color w:val="auto"/>
          <w:sz w:val="20"/>
          <w:szCs w:val="20"/>
        </w:rPr>
        <w:t>J Neuroendocrinol</w:t>
      </w:r>
      <w:r w:rsidRPr="00251D0C">
        <w:rPr>
          <w:color w:val="auto"/>
          <w:sz w:val="20"/>
          <w:szCs w:val="20"/>
        </w:rPr>
        <w:t>. 2012 Mar;24(3):464-76. doi:10.1111/j.1365-2826.2011.02262.x. PubMed PMID:             22129075</w:t>
      </w:r>
    </w:p>
    <w:p w14:paraId="2A6D06FE" w14:textId="77777777" w:rsidR="00251D0C" w:rsidRPr="00251D0C" w:rsidRDefault="00251D0C" w:rsidP="00251D0C">
      <w:pPr>
        <w:pStyle w:val="Listaszerbekezds"/>
        <w:numPr>
          <w:ilvl w:val="0"/>
          <w:numId w:val="21"/>
        </w:numPr>
        <w:rPr>
          <w:color w:val="auto"/>
          <w:sz w:val="20"/>
          <w:szCs w:val="20"/>
        </w:rPr>
      </w:pPr>
      <w:r w:rsidRPr="00251D0C">
        <w:rPr>
          <w:color w:val="auto"/>
          <w:sz w:val="20"/>
          <w:szCs w:val="20"/>
        </w:rPr>
        <w:t xml:space="preserve">Jo S, </w:t>
      </w:r>
      <w:r w:rsidRPr="00251D0C">
        <w:rPr>
          <w:b/>
          <w:bCs/>
          <w:color w:val="auto"/>
          <w:sz w:val="20"/>
          <w:szCs w:val="20"/>
        </w:rPr>
        <w:t>Kalló I</w:t>
      </w:r>
      <w:r w:rsidRPr="00251D0C">
        <w:rPr>
          <w:color w:val="auto"/>
          <w:sz w:val="20"/>
          <w:szCs w:val="20"/>
        </w:rPr>
        <w:t xml:space="preserve">, </w:t>
      </w:r>
      <w:proofErr w:type="spellStart"/>
      <w:r w:rsidRPr="00251D0C">
        <w:rPr>
          <w:color w:val="auto"/>
          <w:sz w:val="20"/>
          <w:szCs w:val="20"/>
        </w:rPr>
        <w:t>Bardóczi</w:t>
      </w:r>
      <w:proofErr w:type="spellEnd"/>
      <w:r w:rsidRPr="00251D0C">
        <w:rPr>
          <w:color w:val="auto"/>
          <w:sz w:val="20"/>
          <w:szCs w:val="20"/>
        </w:rPr>
        <w:t xml:space="preserve"> Z, Arrojo e Drigo R, </w:t>
      </w:r>
      <w:proofErr w:type="spellStart"/>
      <w:r w:rsidRPr="00251D0C">
        <w:rPr>
          <w:color w:val="auto"/>
          <w:sz w:val="20"/>
          <w:szCs w:val="20"/>
        </w:rPr>
        <w:t>Zeöld</w:t>
      </w:r>
      <w:proofErr w:type="spellEnd"/>
      <w:r w:rsidRPr="00251D0C">
        <w:rPr>
          <w:color w:val="auto"/>
          <w:sz w:val="20"/>
          <w:szCs w:val="20"/>
        </w:rPr>
        <w:t xml:space="preserve"> A, </w:t>
      </w:r>
      <w:proofErr w:type="spellStart"/>
      <w:r w:rsidRPr="00251D0C">
        <w:rPr>
          <w:color w:val="auto"/>
          <w:sz w:val="20"/>
          <w:szCs w:val="20"/>
        </w:rPr>
        <w:t>Liposits</w:t>
      </w:r>
      <w:proofErr w:type="spellEnd"/>
      <w:r w:rsidRPr="00251D0C">
        <w:rPr>
          <w:color w:val="auto"/>
          <w:sz w:val="20"/>
          <w:szCs w:val="20"/>
        </w:rPr>
        <w:t xml:space="preserve"> Z, Oliva A, Lemmon VP, Bixby JL, Gereben B, Bianco AC. Neuronal hypoxia induces Hsp40-mediated nuclear import of type 3 deiodinase as an adaptive mechanism to reduce cellular metabolism. </w:t>
      </w:r>
      <w:r w:rsidRPr="00251D0C">
        <w:rPr>
          <w:b/>
          <w:bCs/>
          <w:color w:val="auto"/>
          <w:sz w:val="20"/>
          <w:szCs w:val="20"/>
        </w:rPr>
        <w:t>J Neurosci.</w:t>
      </w:r>
      <w:r w:rsidRPr="00251D0C">
        <w:rPr>
          <w:color w:val="auto"/>
          <w:sz w:val="20"/>
          <w:szCs w:val="20"/>
        </w:rPr>
        <w:t xml:space="preserve"> 2012 Jun 20;32(25):8491-500. doi: 10.1523/JNEUROSCI.6514-11.2012. PubMed PMID:  22723689 .</w:t>
      </w:r>
    </w:p>
    <w:p w14:paraId="479D10F5" w14:textId="1BB172F8" w:rsidR="00251D0C" w:rsidRPr="00251D0C" w:rsidRDefault="00251D0C" w:rsidP="00251D0C">
      <w:pPr>
        <w:pStyle w:val="Listaszerbekezds"/>
        <w:numPr>
          <w:ilvl w:val="0"/>
          <w:numId w:val="21"/>
        </w:numPr>
        <w:rPr>
          <w:color w:val="auto"/>
          <w:sz w:val="20"/>
          <w:szCs w:val="20"/>
        </w:rPr>
      </w:pPr>
      <w:r w:rsidRPr="00251D0C">
        <w:rPr>
          <w:b/>
          <w:bCs/>
          <w:color w:val="auto"/>
          <w:sz w:val="20"/>
          <w:szCs w:val="20"/>
        </w:rPr>
        <w:t>Kalló I</w:t>
      </w:r>
      <w:r w:rsidRPr="00251D0C">
        <w:rPr>
          <w:color w:val="auto"/>
          <w:sz w:val="20"/>
          <w:szCs w:val="20"/>
        </w:rPr>
        <w:t xml:space="preserve">, Mohácsik P, Vida B, </w:t>
      </w:r>
      <w:proofErr w:type="spellStart"/>
      <w:r w:rsidRPr="00251D0C">
        <w:rPr>
          <w:color w:val="auto"/>
          <w:sz w:val="20"/>
          <w:szCs w:val="20"/>
        </w:rPr>
        <w:t>Zeöld</w:t>
      </w:r>
      <w:proofErr w:type="spellEnd"/>
      <w:r w:rsidRPr="00251D0C">
        <w:rPr>
          <w:color w:val="auto"/>
          <w:sz w:val="20"/>
          <w:szCs w:val="20"/>
        </w:rPr>
        <w:t xml:space="preserve"> A, </w:t>
      </w:r>
      <w:proofErr w:type="spellStart"/>
      <w:r w:rsidRPr="00251D0C">
        <w:rPr>
          <w:color w:val="auto"/>
          <w:sz w:val="20"/>
          <w:szCs w:val="20"/>
        </w:rPr>
        <w:t>Bardóczi</w:t>
      </w:r>
      <w:proofErr w:type="spellEnd"/>
      <w:r w:rsidRPr="00251D0C">
        <w:rPr>
          <w:color w:val="auto"/>
          <w:sz w:val="20"/>
          <w:szCs w:val="20"/>
        </w:rPr>
        <w:t xml:space="preserve"> Z, </w:t>
      </w:r>
      <w:proofErr w:type="spellStart"/>
      <w:r w:rsidRPr="00251D0C">
        <w:rPr>
          <w:color w:val="auto"/>
          <w:sz w:val="20"/>
          <w:szCs w:val="20"/>
        </w:rPr>
        <w:t>Zavacki</w:t>
      </w:r>
      <w:proofErr w:type="spellEnd"/>
      <w:r w:rsidRPr="00251D0C">
        <w:rPr>
          <w:color w:val="auto"/>
          <w:sz w:val="20"/>
          <w:szCs w:val="20"/>
        </w:rPr>
        <w:t xml:space="preserve"> AM, Farkas E, Kádár A, Hrabovszky E, Arrojo E Drigo R, Dong L, Barna L, Palkovits M, </w:t>
      </w:r>
      <w:proofErr w:type="spellStart"/>
      <w:r w:rsidRPr="00251D0C">
        <w:rPr>
          <w:color w:val="auto"/>
          <w:sz w:val="20"/>
          <w:szCs w:val="20"/>
        </w:rPr>
        <w:t>Borsay</w:t>
      </w:r>
      <w:proofErr w:type="spellEnd"/>
      <w:r w:rsidRPr="00251D0C">
        <w:rPr>
          <w:color w:val="auto"/>
          <w:sz w:val="20"/>
          <w:szCs w:val="20"/>
        </w:rPr>
        <w:t xml:space="preserve"> BA, Herczeg L, Lechan RM, Bianco AC, Liposits Z, Fekete C, Gereben B. A novel pathway regulates thyroid hormone availability in rat and human hypothalamic neurosecretory neurons. </w:t>
      </w:r>
      <w:r w:rsidRPr="00251D0C">
        <w:rPr>
          <w:b/>
          <w:bCs/>
          <w:i/>
          <w:iCs/>
          <w:color w:val="auto"/>
          <w:sz w:val="20"/>
          <w:szCs w:val="20"/>
        </w:rPr>
        <w:t>PLoS One</w:t>
      </w:r>
      <w:r w:rsidRPr="00251D0C">
        <w:rPr>
          <w:color w:val="auto"/>
          <w:sz w:val="20"/>
          <w:szCs w:val="20"/>
        </w:rPr>
        <w:t xml:space="preserve">. 2012;7(6):e37860. doi: 10.1371/journal.pone.0037860. </w:t>
      </w:r>
      <w:proofErr w:type="spellStart"/>
      <w:r w:rsidRPr="00251D0C">
        <w:rPr>
          <w:color w:val="auto"/>
          <w:sz w:val="20"/>
          <w:szCs w:val="20"/>
        </w:rPr>
        <w:t>Epub</w:t>
      </w:r>
      <w:proofErr w:type="spellEnd"/>
      <w:r w:rsidRPr="00251D0C">
        <w:rPr>
          <w:color w:val="auto"/>
          <w:sz w:val="20"/>
          <w:szCs w:val="20"/>
        </w:rPr>
        <w:t xml:space="preserve"> 2012 Jun 18. PubMed PMID:  22719854; PubMed Central PMCID: PMC3377717.</w:t>
      </w:r>
    </w:p>
    <w:p w14:paraId="269C5F10" w14:textId="77777777" w:rsidR="00251D0C" w:rsidRPr="00251D0C" w:rsidRDefault="00251D0C" w:rsidP="00251D0C">
      <w:pPr>
        <w:pStyle w:val="Listaszerbekezds"/>
        <w:numPr>
          <w:ilvl w:val="0"/>
          <w:numId w:val="21"/>
        </w:numPr>
        <w:rPr>
          <w:color w:val="auto"/>
          <w:sz w:val="20"/>
          <w:szCs w:val="20"/>
        </w:rPr>
      </w:pPr>
      <w:r w:rsidRPr="00251D0C">
        <w:rPr>
          <w:b/>
          <w:bCs/>
          <w:color w:val="auto"/>
          <w:sz w:val="20"/>
          <w:szCs w:val="20"/>
        </w:rPr>
        <w:t>Imre Kalló</w:t>
      </w:r>
      <w:r w:rsidRPr="00251D0C">
        <w:rPr>
          <w:color w:val="auto"/>
          <w:sz w:val="20"/>
          <w:szCs w:val="20"/>
        </w:rPr>
        <w:t xml:space="preserve">; Barbara Vida; Zsuzsanna Bardóczi; Anett Szilvásy-Szabó; Fruzsina Rabi; Tamás Molnár; Imre Farkas; Alain Caraty; Jens Mikkelsen; Clive W. Coen; Erik Hrabovszky and Zsolt Liposits. Gonadotropin-releasing hormone neurones innervate kisspeptin neurones in the female mouse brain </w:t>
      </w:r>
      <w:r w:rsidRPr="00251D0C">
        <w:rPr>
          <w:b/>
          <w:bCs/>
          <w:i/>
          <w:iCs/>
          <w:color w:val="auto"/>
          <w:sz w:val="20"/>
          <w:szCs w:val="20"/>
        </w:rPr>
        <w:t>Neuroendocrinology</w:t>
      </w:r>
      <w:r w:rsidRPr="00251D0C">
        <w:rPr>
          <w:color w:val="auto"/>
          <w:sz w:val="20"/>
          <w:szCs w:val="20"/>
        </w:rPr>
        <w:t xml:space="preserve">. 2013;98(4):281-9. doi: 10.1159/000355623. </w:t>
      </w:r>
      <w:proofErr w:type="spellStart"/>
      <w:r w:rsidRPr="00251D0C">
        <w:rPr>
          <w:color w:val="auto"/>
          <w:sz w:val="20"/>
          <w:szCs w:val="20"/>
        </w:rPr>
        <w:t>Epub</w:t>
      </w:r>
      <w:proofErr w:type="spellEnd"/>
      <w:r w:rsidRPr="00251D0C">
        <w:rPr>
          <w:color w:val="auto"/>
          <w:sz w:val="20"/>
          <w:szCs w:val="20"/>
        </w:rPr>
        <w:t xml:space="preserve"> 2013 Sep 21.</w:t>
      </w:r>
    </w:p>
    <w:p w14:paraId="5C3B1208" w14:textId="40CB92CD" w:rsidR="00251D0C" w:rsidRPr="00251D0C" w:rsidRDefault="00251D0C" w:rsidP="00251D0C">
      <w:pPr>
        <w:pStyle w:val="Listaszerbekezds"/>
        <w:numPr>
          <w:ilvl w:val="0"/>
          <w:numId w:val="21"/>
        </w:numPr>
        <w:rPr>
          <w:color w:val="auto"/>
          <w:sz w:val="20"/>
          <w:szCs w:val="20"/>
        </w:rPr>
      </w:pPr>
      <w:r w:rsidRPr="00251D0C">
        <w:rPr>
          <w:color w:val="auto"/>
          <w:sz w:val="20"/>
          <w:szCs w:val="20"/>
        </w:rPr>
        <w:t xml:space="preserve">Kriszt R, Winkler Z, Polyák Á, Kuti D, Molnár C, Hrabovszky E, </w:t>
      </w:r>
      <w:r w:rsidRPr="00251D0C">
        <w:rPr>
          <w:b/>
          <w:bCs/>
          <w:color w:val="auto"/>
          <w:sz w:val="20"/>
          <w:szCs w:val="20"/>
        </w:rPr>
        <w:t>Kalló</w:t>
      </w:r>
      <w:r w:rsidRPr="00251D0C">
        <w:rPr>
          <w:color w:val="auto"/>
          <w:sz w:val="20"/>
          <w:szCs w:val="20"/>
        </w:rPr>
        <w:t xml:space="preserve"> </w:t>
      </w:r>
      <w:r w:rsidRPr="00251D0C">
        <w:rPr>
          <w:b/>
          <w:bCs/>
          <w:color w:val="auto"/>
          <w:sz w:val="20"/>
          <w:szCs w:val="20"/>
        </w:rPr>
        <w:t>I</w:t>
      </w:r>
      <w:r w:rsidRPr="00251D0C">
        <w:rPr>
          <w:color w:val="auto"/>
          <w:sz w:val="20"/>
          <w:szCs w:val="20"/>
        </w:rPr>
        <w:t>, Sz</w:t>
      </w:r>
      <w:r>
        <w:rPr>
          <w:color w:val="auto"/>
          <w:sz w:val="20"/>
          <w:szCs w:val="20"/>
        </w:rPr>
        <w:t>ő</w:t>
      </w:r>
      <w:r w:rsidRPr="00251D0C">
        <w:rPr>
          <w:color w:val="auto"/>
          <w:sz w:val="20"/>
          <w:szCs w:val="20"/>
        </w:rPr>
        <w:t xml:space="preserve">ke Z, Ferenczi S, Kovács KJ. Xenoestrogens Ethinyl Estradiol and Zearalenone Cause Precocious Puberty in Female Rats via Central Kisspeptin Signaling. </w:t>
      </w:r>
      <w:r w:rsidRPr="00251D0C">
        <w:rPr>
          <w:b/>
          <w:bCs/>
          <w:i/>
          <w:iCs/>
          <w:color w:val="auto"/>
          <w:sz w:val="20"/>
          <w:szCs w:val="20"/>
        </w:rPr>
        <w:t>Endocrinology</w:t>
      </w:r>
      <w:r w:rsidRPr="00251D0C">
        <w:rPr>
          <w:color w:val="auto"/>
          <w:sz w:val="20"/>
          <w:szCs w:val="20"/>
        </w:rPr>
        <w:t xml:space="preserve">. 2015 Nov;156(11):3996-4007. doi: 10.1210/en.2015-1330. </w:t>
      </w:r>
      <w:proofErr w:type="spellStart"/>
      <w:r w:rsidRPr="00251D0C">
        <w:rPr>
          <w:color w:val="auto"/>
          <w:sz w:val="20"/>
          <w:szCs w:val="20"/>
        </w:rPr>
        <w:t>Epub</w:t>
      </w:r>
      <w:proofErr w:type="spellEnd"/>
      <w:r w:rsidRPr="00251D0C">
        <w:rPr>
          <w:color w:val="auto"/>
          <w:sz w:val="20"/>
          <w:szCs w:val="20"/>
        </w:rPr>
        <w:t xml:space="preserve"> 2015 Aug 6. PubMed PMID: 26248220.</w:t>
      </w:r>
    </w:p>
    <w:p w14:paraId="748AB3E3" w14:textId="2F5C8AB4" w:rsidR="00251D0C" w:rsidRDefault="00251D0C" w:rsidP="005964D7">
      <w:pPr>
        <w:pStyle w:val="Listaszerbekezds"/>
        <w:numPr>
          <w:ilvl w:val="0"/>
          <w:numId w:val="21"/>
        </w:numPr>
        <w:jc w:val="both"/>
        <w:rPr>
          <w:color w:val="auto"/>
          <w:sz w:val="20"/>
          <w:szCs w:val="20"/>
        </w:rPr>
      </w:pPr>
      <w:r w:rsidRPr="00251D0C">
        <w:rPr>
          <w:color w:val="auto"/>
          <w:sz w:val="20"/>
          <w:szCs w:val="20"/>
        </w:rPr>
        <w:t xml:space="preserve">Sárvári M, </w:t>
      </w:r>
      <w:r w:rsidRPr="00251D0C">
        <w:rPr>
          <w:b/>
          <w:bCs/>
          <w:color w:val="auto"/>
          <w:sz w:val="20"/>
          <w:szCs w:val="20"/>
        </w:rPr>
        <w:t>Kalló I</w:t>
      </w:r>
      <w:r w:rsidRPr="00251D0C">
        <w:rPr>
          <w:color w:val="auto"/>
          <w:sz w:val="20"/>
          <w:szCs w:val="20"/>
        </w:rPr>
        <w:t xml:space="preserve">, Hrabovszky E, Solymosi N, Rodolosse A, Vastagh C, Auer H, Liposits Z. Hippocampal Gene Expression Is Highly Responsive to Estradiol Replacement in Middle-Aged Female Rats. </w:t>
      </w:r>
      <w:r w:rsidRPr="00251D0C">
        <w:rPr>
          <w:b/>
          <w:bCs/>
          <w:i/>
          <w:iCs/>
          <w:color w:val="auto"/>
          <w:sz w:val="20"/>
          <w:szCs w:val="20"/>
        </w:rPr>
        <w:t>Endocrinology</w:t>
      </w:r>
      <w:r w:rsidRPr="00251D0C">
        <w:rPr>
          <w:color w:val="auto"/>
          <w:sz w:val="20"/>
          <w:szCs w:val="20"/>
        </w:rPr>
        <w:t xml:space="preserve">. 2015 Jul;156(7):2632-45. doi: 10.1210/en.2015-1109. </w:t>
      </w:r>
      <w:proofErr w:type="spellStart"/>
      <w:r w:rsidRPr="00251D0C">
        <w:rPr>
          <w:color w:val="auto"/>
          <w:sz w:val="20"/>
          <w:szCs w:val="20"/>
        </w:rPr>
        <w:t>Epub</w:t>
      </w:r>
      <w:proofErr w:type="spellEnd"/>
      <w:r w:rsidRPr="00251D0C">
        <w:rPr>
          <w:color w:val="auto"/>
          <w:sz w:val="20"/>
          <w:szCs w:val="20"/>
        </w:rPr>
        <w:t xml:space="preserve"> 2015 Apr 29.</w:t>
      </w:r>
    </w:p>
    <w:p w14:paraId="010AE833" w14:textId="77777777" w:rsidR="00251D0C" w:rsidRPr="00251D0C" w:rsidRDefault="00251D0C" w:rsidP="00251D0C">
      <w:pPr>
        <w:pStyle w:val="Listaszerbekezds"/>
        <w:numPr>
          <w:ilvl w:val="0"/>
          <w:numId w:val="21"/>
        </w:numPr>
        <w:rPr>
          <w:color w:val="auto"/>
          <w:sz w:val="20"/>
          <w:szCs w:val="20"/>
        </w:rPr>
      </w:pPr>
      <w:r w:rsidRPr="00251D0C">
        <w:rPr>
          <w:color w:val="auto"/>
          <w:sz w:val="20"/>
          <w:szCs w:val="20"/>
        </w:rPr>
        <w:t xml:space="preserve">Sárvári M, </w:t>
      </w:r>
      <w:r w:rsidRPr="00251D0C">
        <w:rPr>
          <w:b/>
          <w:bCs/>
          <w:color w:val="auto"/>
          <w:sz w:val="20"/>
          <w:szCs w:val="20"/>
        </w:rPr>
        <w:t>Kalló I</w:t>
      </w:r>
      <w:r w:rsidRPr="00251D0C">
        <w:rPr>
          <w:color w:val="auto"/>
          <w:sz w:val="20"/>
          <w:szCs w:val="20"/>
        </w:rPr>
        <w:t xml:space="preserve">, Hrabovszky E, Solymosi N, Rodolosse A, Liposits Z. Long-Term Estrogen Receptor Beta Agonist Treatment Modifies the Hippocampal Transcriptome in Middle-Aged Ovariectomized Rats. </w:t>
      </w:r>
      <w:r w:rsidRPr="00251D0C">
        <w:rPr>
          <w:b/>
          <w:bCs/>
          <w:i/>
          <w:iCs/>
          <w:color w:val="auto"/>
          <w:sz w:val="20"/>
          <w:szCs w:val="20"/>
        </w:rPr>
        <w:t>Front Cell Neurosci.</w:t>
      </w:r>
      <w:r w:rsidRPr="00251D0C">
        <w:rPr>
          <w:color w:val="auto"/>
          <w:sz w:val="20"/>
          <w:szCs w:val="20"/>
        </w:rPr>
        <w:t xml:space="preserve"> 2016 Jun 10;10:149. doi: 10.3389/fncel.2016.00149. eCollection 2016. PubMed PMID:27375434; PubMed Central PMCID: PMC4901073.</w:t>
      </w:r>
    </w:p>
    <w:p w14:paraId="1C549ED8" w14:textId="77777777" w:rsidR="00364A1E" w:rsidRPr="00364A1E" w:rsidRDefault="00364A1E" w:rsidP="00364A1E">
      <w:pPr>
        <w:pStyle w:val="Listaszerbekezds"/>
        <w:numPr>
          <w:ilvl w:val="0"/>
          <w:numId w:val="21"/>
        </w:numPr>
        <w:rPr>
          <w:color w:val="auto"/>
          <w:sz w:val="20"/>
          <w:szCs w:val="20"/>
        </w:rPr>
      </w:pPr>
      <w:r w:rsidRPr="00364A1E">
        <w:rPr>
          <w:color w:val="auto"/>
          <w:sz w:val="20"/>
          <w:szCs w:val="20"/>
        </w:rPr>
        <w:t>Bardóczi Z, Pál B, K</w:t>
      </w:r>
      <w:r w:rsidRPr="00364A1E">
        <w:rPr>
          <w:rFonts w:hint="eastAsia"/>
          <w:color w:val="auto"/>
          <w:sz w:val="20"/>
          <w:szCs w:val="20"/>
        </w:rPr>
        <w:t>ő</w:t>
      </w:r>
      <w:r w:rsidRPr="00364A1E">
        <w:rPr>
          <w:color w:val="auto"/>
          <w:sz w:val="20"/>
          <w:szCs w:val="20"/>
        </w:rPr>
        <w:t xml:space="preserve">szeghy Á, Wilheim T, Watanabe M, Záborszky L, Liposits Z, </w:t>
      </w:r>
      <w:r w:rsidRPr="00364A1E">
        <w:rPr>
          <w:b/>
          <w:bCs/>
          <w:color w:val="auto"/>
          <w:sz w:val="20"/>
          <w:szCs w:val="20"/>
        </w:rPr>
        <w:t>Kalló I</w:t>
      </w:r>
      <w:r w:rsidRPr="00364A1E">
        <w:rPr>
          <w:color w:val="auto"/>
          <w:sz w:val="20"/>
          <w:szCs w:val="20"/>
        </w:rPr>
        <w:t xml:space="preserve">. Glycinergic input to the mouse basal forebrain cholinergic neurons. </w:t>
      </w:r>
      <w:r w:rsidRPr="00364A1E">
        <w:rPr>
          <w:b/>
          <w:bCs/>
          <w:i/>
          <w:iCs/>
          <w:color w:val="auto"/>
          <w:sz w:val="20"/>
          <w:szCs w:val="20"/>
        </w:rPr>
        <w:t>J Neurosci</w:t>
      </w:r>
      <w:r w:rsidRPr="00364A1E">
        <w:rPr>
          <w:color w:val="auto"/>
          <w:sz w:val="20"/>
          <w:szCs w:val="20"/>
        </w:rPr>
        <w:t xml:space="preserve">. 2017 Sep 5. </w:t>
      </w:r>
      <w:proofErr w:type="spellStart"/>
      <w:r w:rsidRPr="00364A1E">
        <w:rPr>
          <w:color w:val="auto"/>
          <w:sz w:val="20"/>
          <w:szCs w:val="20"/>
        </w:rPr>
        <w:t>pii</w:t>
      </w:r>
      <w:proofErr w:type="spellEnd"/>
      <w:r w:rsidRPr="00364A1E">
        <w:rPr>
          <w:color w:val="auto"/>
          <w:sz w:val="20"/>
          <w:szCs w:val="20"/>
        </w:rPr>
        <w:t>: 3348-16. doi: 10.1523/JNEUROSCI.3348-16.2017. [</w:t>
      </w:r>
      <w:proofErr w:type="spellStart"/>
      <w:r w:rsidRPr="00364A1E">
        <w:rPr>
          <w:color w:val="auto"/>
          <w:sz w:val="20"/>
          <w:szCs w:val="20"/>
        </w:rPr>
        <w:t>Epub</w:t>
      </w:r>
      <w:proofErr w:type="spellEnd"/>
      <w:r w:rsidRPr="00364A1E">
        <w:rPr>
          <w:color w:val="auto"/>
          <w:sz w:val="20"/>
          <w:szCs w:val="20"/>
        </w:rPr>
        <w:t xml:space="preserve"> ahead of print] PubMed PMID: 28874448.</w:t>
      </w:r>
    </w:p>
    <w:p w14:paraId="751EDA14" w14:textId="0115ED3A" w:rsidR="00251D0C" w:rsidRDefault="00364A1E" w:rsidP="005964D7">
      <w:pPr>
        <w:pStyle w:val="Listaszerbekezds"/>
        <w:numPr>
          <w:ilvl w:val="0"/>
          <w:numId w:val="21"/>
        </w:numPr>
        <w:jc w:val="both"/>
        <w:rPr>
          <w:color w:val="auto"/>
          <w:sz w:val="20"/>
          <w:szCs w:val="20"/>
        </w:rPr>
      </w:pPr>
      <w:r w:rsidRPr="00364A1E">
        <w:rPr>
          <w:color w:val="auto"/>
          <w:sz w:val="20"/>
          <w:szCs w:val="20"/>
        </w:rPr>
        <w:t xml:space="preserve">Bardóczi Z, Wilheim T, Skrapits K, Hrabovszky E, Rácz G, Matolcsy A, Liposits Z, H. Sliwowska J, Dobolyi A, </w:t>
      </w:r>
      <w:r w:rsidRPr="00364A1E">
        <w:rPr>
          <w:b/>
          <w:bCs/>
          <w:color w:val="auto"/>
          <w:sz w:val="20"/>
          <w:szCs w:val="20"/>
        </w:rPr>
        <w:t>Kalló I</w:t>
      </w:r>
      <w:r w:rsidRPr="00364A1E">
        <w:rPr>
          <w:color w:val="auto"/>
          <w:sz w:val="20"/>
          <w:szCs w:val="20"/>
        </w:rPr>
        <w:t xml:space="preserve"> (2018) GnRH Neurons Provide Direct Input to Hypothalamic Tyrosine Hydroxylase Immunoreactive Neurons Which Is Maintained During Lactation. </w:t>
      </w:r>
      <w:r w:rsidRPr="00364A1E">
        <w:rPr>
          <w:b/>
          <w:bCs/>
          <w:i/>
          <w:iCs/>
          <w:color w:val="auto"/>
          <w:sz w:val="20"/>
          <w:szCs w:val="20"/>
        </w:rPr>
        <w:t>Frontiers in endocrinology</w:t>
      </w:r>
      <w:r w:rsidRPr="00364A1E">
        <w:rPr>
          <w:color w:val="auto"/>
          <w:sz w:val="20"/>
          <w:szCs w:val="20"/>
        </w:rPr>
        <w:t xml:space="preserve"> 9 Paper: 685, 11 p. (2018)</w:t>
      </w:r>
    </w:p>
    <w:p w14:paraId="4299D665" w14:textId="0F4B4D8F" w:rsidR="00364A1E" w:rsidRDefault="00364A1E" w:rsidP="005964D7">
      <w:pPr>
        <w:pStyle w:val="Listaszerbekezds"/>
        <w:numPr>
          <w:ilvl w:val="0"/>
          <w:numId w:val="21"/>
        </w:numPr>
        <w:jc w:val="both"/>
        <w:rPr>
          <w:color w:val="auto"/>
          <w:sz w:val="20"/>
          <w:szCs w:val="20"/>
        </w:rPr>
      </w:pPr>
      <w:r w:rsidRPr="00364A1E">
        <w:rPr>
          <w:color w:val="auto"/>
          <w:sz w:val="20"/>
          <w:szCs w:val="20"/>
        </w:rPr>
        <w:t xml:space="preserve">Wilheim T, Nagy K, Mohanraj M, </w:t>
      </w:r>
      <w:proofErr w:type="spellStart"/>
      <w:r w:rsidRPr="00364A1E">
        <w:rPr>
          <w:color w:val="auto"/>
          <w:sz w:val="20"/>
          <w:szCs w:val="20"/>
        </w:rPr>
        <w:t>Ziarniak</w:t>
      </w:r>
      <w:proofErr w:type="spellEnd"/>
      <w:r w:rsidRPr="00364A1E">
        <w:rPr>
          <w:color w:val="auto"/>
          <w:sz w:val="20"/>
          <w:szCs w:val="20"/>
        </w:rPr>
        <w:t xml:space="preserve"> K, Watanabe M, Sliwowska J, </w:t>
      </w:r>
      <w:r w:rsidRPr="00364A1E">
        <w:rPr>
          <w:b/>
          <w:bCs/>
          <w:color w:val="auto"/>
          <w:sz w:val="20"/>
          <w:szCs w:val="20"/>
        </w:rPr>
        <w:t>Kalló I</w:t>
      </w:r>
      <w:r w:rsidRPr="00364A1E">
        <w:rPr>
          <w:color w:val="auto"/>
          <w:sz w:val="20"/>
          <w:szCs w:val="20"/>
        </w:rPr>
        <w:t xml:space="preserve">. Expression of type one cannabinoid receptor in different subpopulation of kisspeptin neurons and kisspeptin afferents to GnRH neurons in female mice. </w:t>
      </w:r>
      <w:r w:rsidRPr="00364A1E">
        <w:rPr>
          <w:b/>
          <w:bCs/>
          <w:i/>
          <w:iCs/>
          <w:color w:val="auto"/>
          <w:sz w:val="20"/>
          <w:szCs w:val="20"/>
        </w:rPr>
        <w:t xml:space="preserve">Brain struct </w:t>
      </w:r>
      <w:proofErr w:type="spellStart"/>
      <w:r w:rsidRPr="00364A1E">
        <w:rPr>
          <w:b/>
          <w:bCs/>
          <w:i/>
          <w:iCs/>
          <w:color w:val="auto"/>
          <w:sz w:val="20"/>
          <w:szCs w:val="20"/>
        </w:rPr>
        <w:t>funct</w:t>
      </w:r>
      <w:proofErr w:type="spellEnd"/>
      <w:r w:rsidRPr="00364A1E">
        <w:rPr>
          <w:color w:val="auto"/>
          <w:sz w:val="20"/>
          <w:szCs w:val="20"/>
        </w:rPr>
        <w:t xml:space="preserve">. 2021 Sep;226(7):2387-2399. doi: 10.1007/s00429-021-02339-z. </w:t>
      </w:r>
      <w:proofErr w:type="spellStart"/>
      <w:r w:rsidRPr="00364A1E">
        <w:rPr>
          <w:color w:val="auto"/>
          <w:sz w:val="20"/>
          <w:szCs w:val="20"/>
        </w:rPr>
        <w:t>Epub</w:t>
      </w:r>
      <w:proofErr w:type="spellEnd"/>
      <w:r w:rsidRPr="00364A1E">
        <w:rPr>
          <w:color w:val="auto"/>
          <w:sz w:val="20"/>
          <w:szCs w:val="20"/>
        </w:rPr>
        <w:t xml:space="preserve"> 2021 Jul 14. PMID: 34263407; PMCID: PMC8354884.</w:t>
      </w:r>
    </w:p>
    <w:p w14:paraId="5904D740" w14:textId="139803C7" w:rsidR="005964D7" w:rsidRPr="00CF1897" w:rsidRDefault="00364A1E" w:rsidP="00B964EB">
      <w:pPr>
        <w:pStyle w:val="Listaszerbekezds"/>
        <w:numPr>
          <w:ilvl w:val="0"/>
          <w:numId w:val="21"/>
        </w:numPr>
        <w:jc w:val="both"/>
        <w:rPr>
          <w:color w:val="auto"/>
          <w:sz w:val="20"/>
          <w:szCs w:val="20"/>
        </w:rPr>
      </w:pPr>
      <w:r w:rsidRPr="00364A1E">
        <w:rPr>
          <w:b/>
          <w:bCs/>
          <w:color w:val="auto"/>
          <w:sz w:val="20"/>
          <w:szCs w:val="20"/>
        </w:rPr>
        <w:t>Kalló I</w:t>
      </w:r>
      <w:r w:rsidRPr="00364A1E">
        <w:rPr>
          <w:color w:val="auto"/>
          <w:sz w:val="20"/>
          <w:szCs w:val="20"/>
        </w:rPr>
        <w:t xml:space="preserve">, Omrani A, Meye FJ, de Jong H, Liposits Z, Adan RAH. Characterization of orexin input to dopamine neurons of the ventral tegmental area projecting to the medial prefrontal cortex and shell of nucleus accumbens. </w:t>
      </w:r>
      <w:r w:rsidRPr="00364A1E">
        <w:rPr>
          <w:b/>
          <w:bCs/>
          <w:i/>
          <w:iCs/>
          <w:color w:val="auto"/>
          <w:sz w:val="20"/>
          <w:szCs w:val="20"/>
        </w:rPr>
        <w:t xml:space="preserve">Brain struct </w:t>
      </w:r>
      <w:proofErr w:type="spellStart"/>
      <w:r w:rsidRPr="00364A1E">
        <w:rPr>
          <w:b/>
          <w:bCs/>
          <w:i/>
          <w:iCs/>
          <w:color w:val="auto"/>
          <w:sz w:val="20"/>
          <w:szCs w:val="20"/>
        </w:rPr>
        <w:t>funct</w:t>
      </w:r>
      <w:proofErr w:type="spellEnd"/>
      <w:r w:rsidRPr="00364A1E">
        <w:rPr>
          <w:color w:val="auto"/>
          <w:sz w:val="20"/>
          <w:szCs w:val="20"/>
        </w:rPr>
        <w:t xml:space="preserve">. 2022 Apr;227(3):1083-1098. doi: 10.1007/s00429-021-02449-8. </w:t>
      </w:r>
      <w:proofErr w:type="spellStart"/>
      <w:r w:rsidRPr="00364A1E">
        <w:rPr>
          <w:color w:val="auto"/>
          <w:sz w:val="20"/>
          <w:szCs w:val="20"/>
        </w:rPr>
        <w:t>Epub</w:t>
      </w:r>
      <w:proofErr w:type="spellEnd"/>
      <w:r w:rsidRPr="00364A1E">
        <w:rPr>
          <w:color w:val="auto"/>
          <w:sz w:val="20"/>
          <w:szCs w:val="20"/>
        </w:rPr>
        <w:t xml:space="preserve"> 2022 Jan 14. PMID: 35029758; PMCID: PMC8930802.</w:t>
      </w:r>
    </w:p>
    <w:sectPr w:rsidR="005964D7" w:rsidRPr="00CF1897" w:rsidSect="00835531">
      <w:footerReference w:type="even" r:id="rId7"/>
      <w:footerReference w:type="default" r:id="rId8"/>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B2D8" w14:textId="77777777" w:rsidR="00683B50" w:rsidRDefault="00683B50">
      <w:r>
        <w:separator/>
      </w:r>
    </w:p>
  </w:endnote>
  <w:endnote w:type="continuationSeparator" w:id="0">
    <w:p w14:paraId="66041244" w14:textId="77777777" w:rsidR="00683B50" w:rsidRDefault="0068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823624430"/>
      <w:docPartObj>
        <w:docPartGallery w:val="Page Numbers (Bottom of Page)"/>
        <w:docPartUnique/>
      </w:docPartObj>
    </w:sdtPr>
    <w:sdtContent>
      <w:p w14:paraId="71B3ACC1" w14:textId="72DCB7FF" w:rsidR="00CF1897" w:rsidRDefault="00CF1897" w:rsidP="00AF4D6F">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7AB0F4FE" w14:textId="77777777" w:rsidR="00CF1897" w:rsidRDefault="00CF1897" w:rsidP="00CF189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978334837"/>
      <w:docPartObj>
        <w:docPartGallery w:val="Page Numbers (Bottom of Page)"/>
        <w:docPartUnique/>
      </w:docPartObj>
    </w:sdtPr>
    <w:sdtContent>
      <w:p w14:paraId="050FF1A6" w14:textId="241450A6" w:rsidR="00CF1897" w:rsidRDefault="00CF1897" w:rsidP="00AF4D6F">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2</w:t>
        </w:r>
        <w:r>
          <w:rPr>
            <w:rStyle w:val="Oldalszm"/>
          </w:rPr>
          <w:fldChar w:fldCharType="end"/>
        </w:r>
      </w:p>
    </w:sdtContent>
  </w:sdt>
  <w:p w14:paraId="22392367" w14:textId="77777777" w:rsidR="00CF1897" w:rsidRDefault="00CF1897" w:rsidP="00CF1897">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B925" w14:textId="77777777" w:rsidR="00683B50" w:rsidRDefault="00683B50">
      <w:r>
        <w:separator/>
      </w:r>
    </w:p>
  </w:footnote>
  <w:footnote w:type="continuationSeparator" w:id="0">
    <w:p w14:paraId="07131597" w14:textId="77777777" w:rsidR="00683B50" w:rsidRDefault="00683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6"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7"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8"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1"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0C77EF0"/>
    <w:multiLevelType w:val="hybridMultilevel"/>
    <w:tmpl w:val="6D909FAC"/>
    <w:lvl w:ilvl="0" w:tplc="F29A9CA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F863F0"/>
    <w:multiLevelType w:val="hybridMultilevel"/>
    <w:tmpl w:val="8534B4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95547695">
    <w:abstractNumId w:val="7"/>
  </w:num>
  <w:num w:numId="2" w16cid:durableId="1086268999">
    <w:abstractNumId w:val="12"/>
  </w:num>
  <w:num w:numId="3" w16cid:durableId="369767763">
    <w:abstractNumId w:val="8"/>
  </w:num>
  <w:num w:numId="4" w16cid:durableId="1675570225">
    <w:abstractNumId w:val="6"/>
  </w:num>
  <w:num w:numId="5" w16cid:durableId="1070349901">
    <w:abstractNumId w:val="10"/>
  </w:num>
  <w:num w:numId="6" w16cid:durableId="1784225238">
    <w:abstractNumId w:val="5"/>
  </w:num>
  <w:num w:numId="7" w16cid:durableId="82533028">
    <w:abstractNumId w:val="2"/>
  </w:num>
  <w:num w:numId="8" w16cid:durableId="748893219">
    <w:abstractNumId w:val="15"/>
  </w:num>
  <w:num w:numId="9" w16cid:durableId="930700500">
    <w:abstractNumId w:val="18"/>
  </w:num>
  <w:num w:numId="10" w16cid:durableId="324356827">
    <w:abstractNumId w:val="11"/>
  </w:num>
  <w:num w:numId="11" w16cid:durableId="1874683776">
    <w:abstractNumId w:val="19"/>
  </w:num>
  <w:num w:numId="12" w16cid:durableId="976691547">
    <w:abstractNumId w:val="20"/>
  </w:num>
  <w:num w:numId="13" w16cid:durableId="1872449770">
    <w:abstractNumId w:val="16"/>
  </w:num>
  <w:num w:numId="14" w16cid:durableId="875236077">
    <w:abstractNumId w:val="9"/>
  </w:num>
  <w:num w:numId="15" w16cid:durableId="213588786">
    <w:abstractNumId w:val="3"/>
  </w:num>
  <w:num w:numId="16" w16cid:durableId="313489351">
    <w:abstractNumId w:val="4"/>
  </w:num>
  <w:num w:numId="17" w16cid:durableId="1930849472">
    <w:abstractNumId w:val="0"/>
  </w:num>
  <w:num w:numId="18" w16cid:durableId="1354066873">
    <w:abstractNumId w:val="1"/>
  </w:num>
  <w:num w:numId="19" w16cid:durableId="1879078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265951">
    <w:abstractNumId w:val="14"/>
  </w:num>
  <w:num w:numId="21" w16cid:durableId="1570574748">
    <w:abstractNumId w:val="13"/>
  </w:num>
  <w:num w:numId="22" w16cid:durableId="1589316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A60E2"/>
    <w:rsid w:val="000D5C65"/>
    <w:rsid w:val="000E59F6"/>
    <w:rsid w:val="00110783"/>
    <w:rsid w:val="001160C7"/>
    <w:rsid w:val="00165931"/>
    <w:rsid w:val="001729F3"/>
    <w:rsid w:val="00181086"/>
    <w:rsid w:val="001A080C"/>
    <w:rsid w:val="001B57EC"/>
    <w:rsid w:val="001C1E05"/>
    <w:rsid w:val="001C566B"/>
    <w:rsid w:val="001D45B1"/>
    <w:rsid w:val="0023287F"/>
    <w:rsid w:val="00237639"/>
    <w:rsid w:val="00237741"/>
    <w:rsid w:val="00251D0C"/>
    <w:rsid w:val="0026062F"/>
    <w:rsid w:val="002B66E3"/>
    <w:rsid w:val="002E02CD"/>
    <w:rsid w:val="002E6F25"/>
    <w:rsid w:val="002F0373"/>
    <w:rsid w:val="00303D99"/>
    <w:rsid w:val="0030519F"/>
    <w:rsid w:val="003106C2"/>
    <w:rsid w:val="00353D04"/>
    <w:rsid w:val="00360902"/>
    <w:rsid w:val="00360D87"/>
    <w:rsid w:val="00362F55"/>
    <w:rsid w:val="00364A1E"/>
    <w:rsid w:val="00371CE2"/>
    <w:rsid w:val="003827AA"/>
    <w:rsid w:val="00392CAF"/>
    <w:rsid w:val="003978F6"/>
    <w:rsid w:val="003B0934"/>
    <w:rsid w:val="003D1CBA"/>
    <w:rsid w:val="004059D2"/>
    <w:rsid w:val="00427286"/>
    <w:rsid w:val="004311BD"/>
    <w:rsid w:val="0043380C"/>
    <w:rsid w:val="0045317C"/>
    <w:rsid w:val="00464385"/>
    <w:rsid w:val="00471CC6"/>
    <w:rsid w:val="00486C9D"/>
    <w:rsid w:val="00486DAE"/>
    <w:rsid w:val="004B35FC"/>
    <w:rsid w:val="004D5F2C"/>
    <w:rsid w:val="004E21AC"/>
    <w:rsid w:val="004F57C5"/>
    <w:rsid w:val="004F72C6"/>
    <w:rsid w:val="004F749C"/>
    <w:rsid w:val="0050030E"/>
    <w:rsid w:val="00507404"/>
    <w:rsid w:val="0052380E"/>
    <w:rsid w:val="0054246A"/>
    <w:rsid w:val="00556424"/>
    <w:rsid w:val="00576002"/>
    <w:rsid w:val="0059089A"/>
    <w:rsid w:val="00593166"/>
    <w:rsid w:val="005964D7"/>
    <w:rsid w:val="005C7714"/>
    <w:rsid w:val="005D3B6C"/>
    <w:rsid w:val="005F0869"/>
    <w:rsid w:val="00623783"/>
    <w:rsid w:val="006566A2"/>
    <w:rsid w:val="0066723B"/>
    <w:rsid w:val="00676D46"/>
    <w:rsid w:val="00683B50"/>
    <w:rsid w:val="006A5256"/>
    <w:rsid w:val="006B72F7"/>
    <w:rsid w:val="006C04C8"/>
    <w:rsid w:val="006D19F6"/>
    <w:rsid w:val="006D225E"/>
    <w:rsid w:val="006F48D5"/>
    <w:rsid w:val="00702C3C"/>
    <w:rsid w:val="00703351"/>
    <w:rsid w:val="0070718A"/>
    <w:rsid w:val="007121B9"/>
    <w:rsid w:val="00722353"/>
    <w:rsid w:val="00727B8F"/>
    <w:rsid w:val="007458ED"/>
    <w:rsid w:val="007459B2"/>
    <w:rsid w:val="00753A77"/>
    <w:rsid w:val="00754EBE"/>
    <w:rsid w:val="00761467"/>
    <w:rsid w:val="0078568D"/>
    <w:rsid w:val="007856C3"/>
    <w:rsid w:val="00790788"/>
    <w:rsid w:val="007C05F8"/>
    <w:rsid w:val="007D2026"/>
    <w:rsid w:val="007D213B"/>
    <w:rsid w:val="007F17D2"/>
    <w:rsid w:val="00811D43"/>
    <w:rsid w:val="0082327D"/>
    <w:rsid w:val="00823512"/>
    <w:rsid w:val="00835531"/>
    <w:rsid w:val="008471D4"/>
    <w:rsid w:val="0085483F"/>
    <w:rsid w:val="00860859"/>
    <w:rsid w:val="00864234"/>
    <w:rsid w:val="00873CA9"/>
    <w:rsid w:val="0088688A"/>
    <w:rsid w:val="008C6EC6"/>
    <w:rsid w:val="008D652D"/>
    <w:rsid w:val="008E2141"/>
    <w:rsid w:val="008F4AEE"/>
    <w:rsid w:val="00907105"/>
    <w:rsid w:val="00911A37"/>
    <w:rsid w:val="00925D0E"/>
    <w:rsid w:val="009311F7"/>
    <w:rsid w:val="00951C95"/>
    <w:rsid w:val="009B36F3"/>
    <w:rsid w:val="009B6260"/>
    <w:rsid w:val="009E252D"/>
    <w:rsid w:val="00A02177"/>
    <w:rsid w:val="00A07801"/>
    <w:rsid w:val="00A10284"/>
    <w:rsid w:val="00A112B0"/>
    <w:rsid w:val="00A56D3F"/>
    <w:rsid w:val="00A57CEC"/>
    <w:rsid w:val="00A63874"/>
    <w:rsid w:val="00A803CD"/>
    <w:rsid w:val="00AA61D0"/>
    <w:rsid w:val="00AB3B9C"/>
    <w:rsid w:val="00AB6A90"/>
    <w:rsid w:val="00AD2726"/>
    <w:rsid w:val="00B11345"/>
    <w:rsid w:val="00B234E1"/>
    <w:rsid w:val="00B2548E"/>
    <w:rsid w:val="00B57A34"/>
    <w:rsid w:val="00B60055"/>
    <w:rsid w:val="00B813C3"/>
    <w:rsid w:val="00B916C4"/>
    <w:rsid w:val="00B91883"/>
    <w:rsid w:val="00BB3FD6"/>
    <w:rsid w:val="00BD22A0"/>
    <w:rsid w:val="00BD6F88"/>
    <w:rsid w:val="00BE6972"/>
    <w:rsid w:val="00C039D7"/>
    <w:rsid w:val="00C043EC"/>
    <w:rsid w:val="00C125AD"/>
    <w:rsid w:val="00C17443"/>
    <w:rsid w:val="00C20D84"/>
    <w:rsid w:val="00C20F26"/>
    <w:rsid w:val="00C446DA"/>
    <w:rsid w:val="00C45A07"/>
    <w:rsid w:val="00C540F6"/>
    <w:rsid w:val="00C56F90"/>
    <w:rsid w:val="00C6572B"/>
    <w:rsid w:val="00C65E64"/>
    <w:rsid w:val="00C861F8"/>
    <w:rsid w:val="00C95F5C"/>
    <w:rsid w:val="00CB09A7"/>
    <w:rsid w:val="00CB6FD4"/>
    <w:rsid w:val="00CD15CF"/>
    <w:rsid w:val="00CE0C5E"/>
    <w:rsid w:val="00CE0CCB"/>
    <w:rsid w:val="00CF0DF1"/>
    <w:rsid w:val="00CF1897"/>
    <w:rsid w:val="00D25F3E"/>
    <w:rsid w:val="00D40DAE"/>
    <w:rsid w:val="00D41D87"/>
    <w:rsid w:val="00D43B3A"/>
    <w:rsid w:val="00D72354"/>
    <w:rsid w:val="00D90523"/>
    <w:rsid w:val="00DC119C"/>
    <w:rsid w:val="00DC756B"/>
    <w:rsid w:val="00DD3F19"/>
    <w:rsid w:val="00DD4FFF"/>
    <w:rsid w:val="00E15D62"/>
    <w:rsid w:val="00E2703E"/>
    <w:rsid w:val="00E30B92"/>
    <w:rsid w:val="00E3450D"/>
    <w:rsid w:val="00E37825"/>
    <w:rsid w:val="00E421C3"/>
    <w:rsid w:val="00E60E0C"/>
    <w:rsid w:val="00E62403"/>
    <w:rsid w:val="00E7048E"/>
    <w:rsid w:val="00E90DC9"/>
    <w:rsid w:val="00E96E90"/>
    <w:rsid w:val="00EA2715"/>
    <w:rsid w:val="00EA2EEC"/>
    <w:rsid w:val="00EB0796"/>
    <w:rsid w:val="00EC24B3"/>
    <w:rsid w:val="00EC4780"/>
    <w:rsid w:val="00F05044"/>
    <w:rsid w:val="00F112F0"/>
    <w:rsid w:val="00F5586F"/>
    <w:rsid w:val="00F70A47"/>
    <w:rsid w:val="00F9220B"/>
    <w:rsid w:val="00FA03F9"/>
    <w:rsid w:val="00FA0B5C"/>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3106C2"/>
    <w:rPr>
      <w:sz w:val="24"/>
      <w:lang w:val="en-GB"/>
    </w:rPr>
  </w:style>
  <w:style w:type="paragraph" w:styleId="Cmsor1">
    <w:name w:val="heading 1"/>
    <w:basedOn w:val="Norml"/>
    <w:next w:val="Norml"/>
    <w:qFormat/>
    <w:pPr>
      <w:keepNext/>
      <w:outlineLvl w:val="0"/>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 w:type="character" w:styleId="Oldalszm">
    <w:name w:val="page number"/>
    <w:basedOn w:val="Bekezdsalapbettpusa"/>
    <w:semiHidden/>
    <w:unhideWhenUsed/>
    <w:rsid w:val="00CF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3" ma:contentTypeDescription="Új dokumentum létrehozása." ma:contentTypeScope="" ma:versionID="7717da7a9f491101d7e1b19e2f9467b2">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ccd95833a2d5e2ee5cbf85be98291a8b"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FA1735-1B56-49B8-8FFB-5515EA51D7B5}"/>
</file>

<file path=customXml/itemProps2.xml><?xml version="1.0" encoding="utf-8"?>
<ds:datastoreItem xmlns:ds="http://schemas.openxmlformats.org/officeDocument/2006/customXml" ds:itemID="{799E0137-C9E6-41AA-B8B1-23A77A7C2EAE}"/>
</file>

<file path=customXml/itemProps3.xml><?xml version="1.0" encoding="utf-8"?>
<ds:datastoreItem xmlns:ds="http://schemas.openxmlformats.org/officeDocument/2006/customXml" ds:itemID="{0B1E66F8-2286-47F3-97AE-9AA7D5A96433}"/>
</file>

<file path=docProps/app.xml><?xml version="1.0" encoding="utf-8"?>
<Properties xmlns="http://schemas.openxmlformats.org/officeDocument/2006/extended-properties" xmlns:vt="http://schemas.openxmlformats.org/officeDocument/2006/docPropsVTypes">
  <Template>Normal</Template>
  <TotalTime>5</TotalTime>
  <Pages>2</Pages>
  <Words>978</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C.V. 7.3.93</vt:lpstr>
    </vt:vector>
  </TitlesOfParts>
  <Company/>
  <LinksUpToDate>false</LinksUpToDate>
  <CharactersWithSpaces>7718</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Fekete Csaba</cp:lastModifiedBy>
  <cp:revision>5</cp:revision>
  <cp:lastPrinted>2003-11-10T08:40:00Z</cp:lastPrinted>
  <dcterms:created xsi:type="dcterms:W3CDTF">2025-02-12T12:32:00Z</dcterms:created>
  <dcterms:modified xsi:type="dcterms:W3CDTF">2025-02-26T11:16:00Z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